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54F1" w14:textId="77777777" w:rsidR="00622F42" w:rsidRPr="0095319A" w:rsidRDefault="00622F42" w:rsidP="00622F42">
      <w:pPr>
        <w:jc w:val="center"/>
        <w:rPr>
          <w:b/>
          <w:bCs/>
          <w:sz w:val="32"/>
          <w:szCs w:val="32"/>
        </w:rPr>
      </w:pPr>
      <w:r w:rsidRPr="0095319A">
        <w:rPr>
          <w:b/>
          <w:bCs/>
          <w:sz w:val="32"/>
          <w:szCs w:val="32"/>
        </w:rPr>
        <w:t>RAG-Marine: An Explainable Hybrid Retrieval-Augmented Generation Framework for Maritime Classification Rules</w:t>
      </w:r>
    </w:p>
    <w:p w14:paraId="35A19996" w14:textId="77777777" w:rsidR="00622F42" w:rsidRDefault="00622F42" w:rsidP="00622F42">
      <w:pPr>
        <w:jc w:val="both"/>
        <w:rPr>
          <w:b/>
          <w:bCs/>
          <w:rtl/>
        </w:rPr>
      </w:pPr>
    </w:p>
    <w:p w14:paraId="138DE909" w14:textId="77777777" w:rsidR="00622F42" w:rsidRPr="00637857" w:rsidRDefault="00622F42" w:rsidP="00637857">
      <w:pPr>
        <w:rPr>
          <w:b/>
          <w:bCs/>
          <w:sz w:val="32"/>
          <w:szCs w:val="32"/>
          <w:rtl/>
        </w:rPr>
      </w:pPr>
      <w:r w:rsidRPr="00637857">
        <w:rPr>
          <w:b/>
          <w:bCs/>
          <w:sz w:val="32"/>
          <w:szCs w:val="32"/>
        </w:rPr>
        <w:t>Abstract</w:t>
      </w:r>
    </w:p>
    <w:p w14:paraId="4631B411" w14:textId="77777777" w:rsidR="00622F42" w:rsidRDefault="00622F42" w:rsidP="00622F42">
      <w:pPr>
        <w:jc w:val="both"/>
        <w:rPr>
          <w:rtl/>
        </w:rPr>
      </w:pPr>
      <w:r w:rsidRPr="0095319A">
        <w:t xml:space="preserve">Maritime classification rules are extensive technical documents that govern ship design and safety compliance, often exceeding several thousand pages. Engineers must consult these rules regularly, yet manual searches across such complex texts are inefficient and </w:t>
      </w:r>
      <w:proofErr w:type="gramStart"/>
      <w:r w:rsidRPr="0095319A">
        <w:t>error-prone</w:t>
      </w:r>
      <w:proofErr w:type="gramEnd"/>
      <w:r w:rsidRPr="0095319A">
        <w:t xml:space="preserve">. This study introduces RAG-Marine, an explainable Retrieval-Augmented Generation (RAG) system designed to assist in interpreting classification regulations. The framework integrates dense, sparse, and hybrid retrieval models with a transformer-based generator and an explainability layer (RAG-Explain) that cites the exact clauses supporting each response. The knowledge base comprises the </w:t>
      </w:r>
      <w:r w:rsidRPr="0095319A">
        <w:rPr>
          <w:i/>
          <w:iCs/>
        </w:rPr>
        <w:t>Rules and Regulations for the Classification of Ships (2022)</w:t>
      </w:r>
      <w:r w:rsidRPr="0095319A">
        <w:t xml:space="preserve"> issued by the Asia Classification Society (ACS). Experimental evaluations demonstrate that RAG-Marine significantly outperforms general-purpose LLMs (e.g., GPT-5, Gemini, DeepSeek) in both factual accuracy and traceability. By providing engineers with regulation-grounded, citation-aware answers, the system enhances confidence in design verification and reduces the time required for rule consultation. This work represents a step toward trustworthy, AI-assisted compliance and digital transformation in marine engineering.</w:t>
      </w:r>
    </w:p>
    <w:p w14:paraId="7BD5DA0C" w14:textId="77777777" w:rsidR="00622F42" w:rsidRDefault="00622F42" w:rsidP="0049558B">
      <w:pPr>
        <w:rPr>
          <w:b/>
          <w:bCs/>
        </w:rPr>
      </w:pPr>
    </w:p>
    <w:p w14:paraId="561AF173" w14:textId="77777777" w:rsidR="0049558B" w:rsidRPr="00637857" w:rsidRDefault="0049558B" w:rsidP="00637857">
      <w:pPr>
        <w:pStyle w:val="ListParagraph"/>
        <w:numPr>
          <w:ilvl w:val="0"/>
          <w:numId w:val="1"/>
        </w:numPr>
        <w:rPr>
          <w:b/>
          <w:bCs/>
          <w:sz w:val="32"/>
          <w:szCs w:val="32"/>
        </w:rPr>
      </w:pPr>
      <w:r w:rsidRPr="00637857">
        <w:rPr>
          <w:b/>
          <w:bCs/>
          <w:sz w:val="32"/>
          <w:szCs w:val="32"/>
        </w:rPr>
        <w:t>Introduction</w:t>
      </w:r>
    </w:p>
    <w:p w14:paraId="62ADA29D" w14:textId="77777777" w:rsidR="0049558B" w:rsidRDefault="0049558B" w:rsidP="0049558B">
      <w:pPr>
        <w:jc w:val="both"/>
      </w:pPr>
      <w:r>
        <w:t>Safety, compliance, and reliability are fundamental to marine engineering. Classification societies such as the Asia Classification Society (ACS), DNV, and ABS issue extensive rulebooks that define standards for ship design and safety [1]. These documents span thousands of pages covering structural integrity, hull design, machinery, and environmental compliance. Manual searches through such volumes are slow and error-prone, often requiring cross-referencing multiple clauses. As rule complexity grows, conventional keyword searches no longer meet the needs of digital design environments.</w:t>
      </w:r>
    </w:p>
    <w:p w14:paraId="3A445912" w14:textId="77777777" w:rsidR="0049558B" w:rsidRDefault="0049558B" w:rsidP="0049558B">
      <w:pPr>
        <w:jc w:val="both"/>
      </w:pPr>
      <w:r>
        <w:t xml:space="preserve">Recent advances in Artificial Intelligence, particularly transformer-based Large Language Models (LLMs) such as GPT and </w:t>
      </w:r>
      <w:proofErr w:type="spellStart"/>
      <w:r>
        <w:t>LLaMA</w:t>
      </w:r>
      <w:proofErr w:type="spellEnd"/>
      <w:r>
        <w:t>, have transformed language understanding and generation [2]. However, because their knowledge derives mainly from open-web text, these models can produce factually incorrect or unverifiable statements, making them unsuitable for safety-critical applications [3]. As a result, Retrieval-Augmented Generation (RAG) frameworks are increasingly explored to provide domain-grounded and traceable reasoning [4]. To overcome the factual unreliability of general LLMs, researchers have developed Retrieval-Augmented Generation (RAG) frameworks that combine information retrieval with language generation [4]. In these systems, a retriever searches a structured knowledge base for the most relevant passages to a query, and the generator produces answers grounded in those verified sources [5]. This approach enhances transparency and factual consistency—qualities essential in regulated engineering domains. Recent work by Siddharth and Luo (2024) demonstrated how RAG can be adapted to engineering design knowledge by extracting explicit technical relationships from patent data, enabling large language models to generate accurate and domain-cohesive responses [6]. Similar principles have been applied in biomedical and aerospace contexts, yet maritime classification still lacks a dedicated, explainable RAG framework. Bridging this gap motivates the present development of a domain-specific, clause-referenced RAG system for ship classification rules.</w:t>
      </w:r>
    </w:p>
    <w:p w14:paraId="6B19E0ED" w14:textId="77777777" w:rsidR="0049558B" w:rsidRDefault="0049558B" w:rsidP="0049558B">
      <w:pPr>
        <w:jc w:val="both"/>
      </w:pPr>
      <w:r>
        <w:lastRenderedPageBreak/>
        <w:t>Applying Retrieval-Augmented Generation to the maritime domain presents unique challenges due to the structure and complexity of classification rulebooks. These documents span thousands of clauses, organized across multiple sections that reference one another through intricate cross-links. Unlike domains such as biomedicine or aerospace, maritime rules lack standardized markup, machine-readable taxonomies, or consistent formatting, which complicates information retrieval and clause alignment [7]. The language itself is formal, prescriptive, and context-dependent, requiring semantic understanding beyond keyword or vector similarity. Additionally, the same technical requirement may appear in several contexts—design, inspection, and verification—demanding clause-level traceability to ensure accurate grounding. Recent studies in domain-specific RAG highlight the importance of structured knowledge integration and relation extraction for reliable retrieval in engineering contexts [6], [8]. Addressing these challenges, this study proposes RAG-Marine, a rule-aware and explainable RAG framework customized for ship classification rule interpretation.</w:t>
      </w:r>
    </w:p>
    <w:p w14:paraId="5AD6D8AF" w14:textId="77777777" w:rsidR="00637857" w:rsidRDefault="0049558B" w:rsidP="00637857">
      <w:pPr>
        <w:jc w:val="both"/>
      </w:pPr>
      <w:r>
        <w:t xml:space="preserve">This paper introduces </w:t>
      </w:r>
      <w:r w:rsidRPr="0099062C">
        <w:rPr>
          <w:rStyle w:val="Strong"/>
          <w:b w:val="0"/>
          <w:bCs w:val="0"/>
        </w:rPr>
        <w:t>RAG-Marine</w:t>
      </w:r>
      <w:r>
        <w:t xml:space="preserve">, a Retrieval-Augmented Generation framework designed specifically for maritime rule interpretation. The system integrates hybrid retrieval (dense and sparse embeddings) with clause-level citation and explanation modules to ensure that every generated answer is explicitly grounded in authoritative rule text. RAG-Marine addresses the limitations of conventional LLMs by improving factual reliability, cross-clause consistency, and transparency in decision reasoning. The framework is evaluated using the </w:t>
      </w:r>
      <w:r>
        <w:rPr>
          <w:rStyle w:val="Emphasis"/>
        </w:rPr>
        <w:t>Rules and Regulations for the Classification of Ships (2022)</w:t>
      </w:r>
      <w:r>
        <w:t xml:space="preserve"> issued by the Asia Classification Society, demonstrating substantial gains in retrieval precision and response traceability over general-purpose LLMs. The key contributions of this study are: (1) the formulation of a domain-grounded retrieval and generation pipeline tailored for classification rules, (2) an explainable output mechanism linking responses to rule clauses, and (3) an empirical evaluation highlighting its reliability and interpretability [9]. The remainder of this paper is organized as follows: Section 2 reviews related work, Section 3 details the methodology, Section 4 presents results, and Section 5 discusses findings and future directions.</w:t>
      </w:r>
    </w:p>
    <w:p w14:paraId="7F43A3B0" w14:textId="77777777" w:rsidR="00637857" w:rsidRDefault="00637857" w:rsidP="00637857">
      <w:pPr>
        <w:jc w:val="both"/>
      </w:pPr>
    </w:p>
    <w:p w14:paraId="60EB8947" w14:textId="77777777" w:rsidR="00637857" w:rsidRDefault="00637857" w:rsidP="00637857">
      <w:pPr>
        <w:jc w:val="both"/>
      </w:pPr>
      <w:r>
        <w:rPr>
          <w:b/>
          <w:bCs/>
          <w:sz w:val="32"/>
          <w:szCs w:val="32"/>
        </w:rPr>
        <w:t>2.</w:t>
      </w:r>
      <w:r w:rsidRPr="00637857">
        <w:rPr>
          <w:b/>
          <w:bCs/>
          <w:sz w:val="32"/>
          <w:szCs w:val="32"/>
        </w:rPr>
        <w:t>Background and Related Work</w:t>
      </w:r>
    </w:p>
    <w:p w14:paraId="46FE49D3" w14:textId="77777777" w:rsidR="00637857" w:rsidRPr="00637857" w:rsidRDefault="0038624D" w:rsidP="00637857">
      <w:pPr>
        <w:jc w:val="both"/>
      </w:pPr>
      <w:r w:rsidRPr="0038624D">
        <w:t xml:space="preserve">Over the past few years, Large Language Models (LLMs) have reshaped artificial intelligence and natural language processing. The transition from recurrent networks such as LSTMs and GRUs to transformer-based architectures—exemplified by BERT, T5, and </w:t>
      </w:r>
      <w:proofErr w:type="spellStart"/>
      <w:r w:rsidRPr="0038624D">
        <w:t>LLaMA</w:t>
      </w:r>
      <w:proofErr w:type="spellEnd"/>
      <w:r w:rsidRPr="0038624D">
        <w:t>—has enabled contextual reasoni</w:t>
      </w:r>
      <w:r>
        <w:t>ng across long text sequences [2</w:t>
      </w:r>
      <w:r w:rsidRPr="0038624D">
        <w:t>]. The key innovation underlying this progress is the self-attention mechanism, which allows each token to dynamically reference others within a sentence or doc</w:t>
      </w:r>
      <w:r>
        <w:t>ument [10</w:t>
      </w:r>
      <w:r w:rsidRPr="0038624D">
        <w:t>]. Through large-scale pretraining on diverse text corpora, transformer models now achieve near-human fluency across summarization, translation, and open-do</w:t>
      </w:r>
      <w:r>
        <w:t>main question-answering tasks [11, 12</w:t>
      </w:r>
      <w:r w:rsidRPr="0038624D">
        <w:t>]. Recent systems such as GPT-4 further illustrate how scaling model size and data diversity enhance</w:t>
      </w:r>
      <w:r>
        <w:t xml:space="preserve"> reasoning and generalization [13</w:t>
      </w:r>
      <w:r w:rsidRPr="0038624D">
        <w:t>].</w:t>
      </w:r>
    </w:p>
    <w:p w14:paraId="2463061C" w14:textId="77777777" w:rsidR="00637857" w:rsidRDefault="007E6321" w:rsidP="0049558B">
      <w:pPr>
        <w:jc w:val="both"/>
        <w:rPr>
          <w:lang w:bidi="fa-IR"/>
        </w:rPr>
      </w:pPr>
      <w:r w:rsidRPr="007E6321">
        <w:rPr>
          <w:lang w:bidi="fa-IR"/>
        </w:rPr>
        <w:t>Despite their remarkable linguistic fluency, conventional Large Language Models (LLMs) remain constrained by their reliance on static, parameterized knowledge. Once training is complete, these models cannot access or verify external data sources, making them susceptible to hallucination—the generation of plausible but f</w:t>
      </w:r>
      <w:r>
        <w:rPr>
          <w:lang w:bidi="fa-IR"/>
        </w:rPr>
        <w:t>actually incorrect statements [14</w:t>
      </w:r>
      <w:r w:rsidRPr="007E6321">
        <w:rPr>
          <w:lang w:bidi="fa-IR"/>
        </w:rPr>
        <w:t>]. This limitation is particularly problematic in domains that demand verifiable precision, such as engineering design, law, and medicine, where factual traceability is as cr</w:t>
      </w:r>
      <w:r>
        <w:rPr>
          <w:lang w:bidi="fa-IR"/>
        </w:rPr>
        <w:t>itical as linguistic accuracy [15</w:t>
      </w:r>
      <w:r w:rsidRPr="007E6321">
        <w:rPr>
          <w:lang w:bidi="fa-IR"/>
        </w:rPr>
        <w:t>]. As the volume and complexity of technical standards continue to grow, the inability of LLMs to reference authoritative documentation has become a major barrier to their safe and practical deployment in regulated industries.</w:t>
      </w:r>
    </w:p>
    <w:p w14:paraId="05EE2D94" w14:textId="77777777" w:rsidR="007E6321" w:rsidRDefault="007E6321" w:rsidP="00F940E6">
      <w:pPr>
        <w:jc w:val="both"/>
        <w:rPr>
          <w:rtl/>
          <w:lang w:bidi="fa-IR"/>
        </w:rPr>
      </w:pPr>
      <w:r w:rsidRPr="007E6321">
        <w:rPr>
          <w:lang w:bidi="fa-IR"/>
        </w:rPr>
        <w:lastRenderedPageBreak/>
        <w:t>To address these shortcomings, the Retrieval-Augmented Generation (RAG) framework was introduced as a hybrid architecture that integrates information-retrieval mechanisms with the generative reasoning capabilities of</w:t>
      </w:r>
      <w:r>
        <w:rPr>
          <w:lang w:bidi="fa-IR"/>
        </w:rPr>
        <w:t xml:space="preserve"> LLMs [4</w:t>
      </w:r>
      <w:r w:rsidRPr="007E6321">
        <w:rPr>
          <w:lang w:bidi="fa-IR"/>
        </w:rPr>
        <w:t>]. In this approach, a user query triggers the retrieval of relevant passages from an external knowledge base, which are then provided to the generator to produce a response grounded in verified evidence rather t</w:t>
      </w:r>
      <w:r w:rsidR="00F940E6">
        <w:rPr>
          <w:lang w:bidi="fa-IR"/>
        </w:rPr>
        <w:t>han internal parameters alone [5</w:t>
      </w:r>
      <w:r w:rsidRPr="007E6321">
        <w:rPr>
          <w:lang w:bidi="fa-IR"/>
        </w:rPr>
        <w:t xml:space="preserve">]. This integration enables dynamic reasoning over authoritative sources at inference time, ensuring that </w:t>
      </w:r>
      <w:proofErr w:type="gramStart"/>
      <w:r w:rsidRPr="007E6321">
        <w:rPr>
          <w:lang w:bidi="fa-IR"/>
        </w:rPr>
        <w:t>outputs remain</w:t>
      </w:r>
      <w:proofErr w:type="gramEnd"/>
      <w:r w:rsidRPr="007E6321">
        <w:rPr>
          <w:lang w:bidi="fa-IR"/>
        </w:rPr>
        <w:t xml:space="preserve"> both linguistically coherent and factually traceable. Owing to this balance of fluency and factuality, RAG has become the foundation for knowledge-intensive question answering and document-grounded reasoning across technical and scientific domains [</w:t>
      </w:r>
      <w:r w:rsidR="00F940E6">
        <w:rPr>
          <w:lang w:bidi="fa-IR"/>
        </w:rPr>
        <w:t>16</w:t>
      </w:r>
      <w:r w:rsidRPr="007E6321">
        <w:rPr>
          <w:lang w:bidi="fa-IR"/>
        </w:rPr>
        <w:t>].</w:t>
      </w:r>
    </w:p>
    <w:p w14:paraId="1D572C3B" w14:textId="77777777" w:rsidR="00D12592" w:rsidRDefault="00D12592" w:rsidP="00F940E6">
      <w:pPr>
        <w:jc w:val="both"/>
        <w:rPr>
          <w:lang w:bidi="fa-IR"/>
        </w:rPr>
      </w:pPr>
      <w:r w:rsidRPr="00D12592">
        <w:rPr>
          <w:lang w:bidi="fa-IR"/>
        </w:rPr>
        <w:t>Formally, a Retrieval-Augmented Generation (RAG) system models the joint probability of generating a response y conditioned on a user query x and retrieved documents d as</w:t>
      </w:r>
    </w:p>
    <w:p w14:paraId="3448A661" w14:textId="77777777" w:rsidR="00D12592" w:rsidRPr="00D12592" w:rsidRDefault="00D12592" w:rsidP="00F940E6">
      <w:pPr>
        <w:jc w:val="both"/>
        <w:rPr>
          <w:rFonts w:eastAsiaTheme="minorEastAsia"/>
        </w:rPr>
      </w:pPr>
      <m:oMathPara>
        <m:oMath>
          <m:r>
            <w:rPr>
              <w:rFonts w:ascii="Cambria Math" w:hAnsi="Cambria Math" w:cstheme="majorBidi"/>
            </w:rPr>
            <m:t>P</m:t>
          </m:r>
          <m:d>
            <m:dPr>
              <m:ctrlPr>
                <w:rPr>
                  <w:rFonts w:ascii="Cambria Math" w:hAnsi="Cambria Math" w:cstheme="majorBidi"/>
                  <w:i/>
                </w:rPr>
              </m:ctrlPr>
            </m:dPr>
            <m:e>
              <m:r>
                <w:rPr>
                  <w:rFonts w:ascii="Cambria Math" w:hAnsi="Cambria Math" w:cstheme="majorBidi"/>
                </w:rPr>
                <m:t>y</m:t>
              </m:r>
            </m:e>
            <m:e>
              <m:r>
                <w:rPr>
                  <w:rFonts w:ascii="Cambria Math" w:hAnsi="Cambria Math" w:cstheme="majorBidi"/>
                </w:rPr>
                <m:t>x</m:t>
              </m:r>
            </m:e>
          </m:d>
          <m:r>
            <w:rPr>
              <w:rFonts w:ascii="Cambria Math" w:hAnsi="Cambria Math" w:cstheme="majorBidi"/>
            </w:rPr>
            <m:t xml:space="preserve">= </m:t>
          </m:r>
          <m:nary>
            <m:naryPr>
              <m:chr m:val="∑"/>
              <m:supHide m:val="1"/>
              <m:ctrlPr>
                <w:rPr>
                  <w:rFonts w:ascii="Cambria Math" w:hAnsi="Cambria Math" w:cstheme="majorBidi"/>
                  <w:i/>
                </w:rPr>
              </m:ctrlPr>
            </m:naryPr>
            <m:sub>
              <m:d>
                <m:dPr>
                  <m:begChr m:val="{"/>
                  <m:endChr m:val="}"/>
                  <m:ctrlPr>
                    <w:rPr>
                      <w:rFonts w:ascii="Cambria Math" w:hAnsi="Cambria Math" w:cstheme="majorBidi"/>
                      <w:i/>
                    </w:rPr>
                  </m:ctrlPr>
                </m:dPr>
                <m:e>
                  <m:r>
                    <w:rPr>
                      <w:rFonts w:ascii="Cambria Math" w:hAnsi="Cambria Math" w:cstheme="majorBidi"/>
                    </w:rPr>
                    <m:t>d ∈D</m:t>
                  </m:r>
                </m:e>
              </m:d>
            </m:sub>
            <m:sup/>
            <m:e>
              <m:r>
                <w:rPr>
                  <w:rFonts w:ascii="Cambria Math" w:hAnsi="Cambria Math" w:cstheme="majorBidi"/>
                </w:rPr>
                <m:t>P</m:t>
              </m:r>
              <m:d>
                <m:dPr>
                  <m:ctrlPr>
                    <w:rPr>
                      <w:rFonts w:ascii="Cambria Math" w:hAnsi="Cambria Math" w:cstheme="majorBidi"/>
                      <w:i/>
                    </w:rPr>
                  </m:ctrlPr>
                </m:dPr>
                <m:e>
                  <m:r>
                    <w:rPr>
                      <w:rFonts w:ascii="Cambria Math" w:hAnsi="Cambria Math" w:cstheme="majorBidi"/>
                    </w:rPr>
                    <m:t>y</m:t>
                  </m:r>
                </m:e>
                <m:e>
                  <m:r>
                    <w:rPr>
                      <w:rFonts w:ascii="Cambria Math" w:hAnsi="Cambria Math" w:cstheme="majorBidi"/>
                    </w:rPr>
                    <m:t>x</m:t>
                  </m:r>
                  <m:r>
                    <m:rPr>
                      <m:sty m:val="p"/>
                    </m:rPr>
                    <w:rPr>
                      <w:rFonts w:ascii="Cambria Math" w:hAnsi="Cambria Math" w:cstheme="majorBidi"/>
                    </w:rPr>
                    <m:t>,</m:t>
                  </m:r>
                  <m:r>
                    <w:rPr>
                      <w:rFonts w:ascii="Cambria Math" w:hAnsi="Cambria Math" w:cstheme="majorBidi"/>
                    </w:rPr>
                    <m:t>d</m:t>
                  </m:r>
                </m:e>
              </m:d>
            </m:e>
          </m:nary>
          <m:r>
            <w:rPr>
              <w:rFonts w:ascii="Cambria Math" w:hAnsi="Cambria Math" w:cstheme="majorBidi"/>
            </w:rPr>
            <m:t>⋅P</m:t>
          </m:r>
          <m:d>
            <m:dPr>
              <m:ctrlPr>
                <w:rPr>
                  <w:rFonts w:ascii="Cambria Math" w:hAnsi="Cambria Math" w:cstheme="majorBidi"/>
                  <w:i/>
                </w:rPr>
              </m:ctrlPr>
            </m:dPr>
            <m:e>
              <m:r>
                <w:rPr>
                  <w:rFonts w:ascii="Cambria Math" w:hAnsi="Cambria Math" w:cstheme="majorBidi"/>
                </w:rPr>
                <m:t>d</m:t>
              </m:r>
            </m:e>
            <m:e>
              <m:r>
                <w:rPr>
                  <w:rFonts w:ascii="Cambria Math" w:hAnsi="Cambria Math" w:cstheme="majorBidi"/>
                </w:rPr>
                <m:t>x</m:t>
              </m:r>
            </m:e>
          </m:d>
        </m:oMath>
      </m:oMathPara>
    </w:p>
    <w:p w14:paraId="6223B3FF" w14:textId="47C75EDD" w:rsidR="00D12592" w:rsidRDefault="006E566E" w:rsidP="0099261D">
      <w:pPr>
        <w:jc w:val="both"/>
      </w:pPr>
      <w:r w:rsidRPr="006E566E">
        <w:t xml:space="preserve">where </w:t>
      </w:r>
      <m:oMath>
        <m:r>
          <w:rPr>
            <w:rStyle w:val="Emphasis"/>
            <w:rFonts w:ascii="Cambria Math" w:hAnsi="Cambria Math"/>
          </w:rPr>
          <m:t>p</m:t>
        </m:r>
        <m:r>
          <m:rPr>
            <m:sty m:val="p"/>
          </m:rPr>
          <w:rPr>
            <w:rStyle w:val="Emphasis"/>
            <w:rFonts w:ascii="Cambria Math" w:hAnsi="Cambria Math"/>
          </w:rPr>
          <m:t>(</m:t>
        </m:r>
        <m:r>
          <w:rPr>
            <w:rStyle w:val="Emphasis"/>
            <w:rFonts w:ascii="Cambria Math" w:hAnsi="Cambria Math"/>
          </w:rPr>
          <m:t>d</m:t>
        </m:r>
        <m:r>
          <m:rPr>
            <m:sty m:val="p"/>
          </m:rPr>
          <w:rPr>
            <w:rStyle w:val="Emphasis"/>
            <w:rFonts w:ascii="Cambria Math" w:hAnsi="Cambria Math"/>
          </w:rPr>
          <m:t> | </m:t>
        </m:r>
        <m:r>
          <w:rPr>
            <w:rStyle w:val="Emphasis"/>
            <w:rFonts w:ascii="Cambria Math" w:hAnsi="Cambria Math"/>
          </w:rPr>
          <m:t>x</m:t>
        </m:r>
        <m:r>
          <m:rPr>
            <m:sty m:val="p"/>
          </m:rPr>
          <w:rPr>
            <w:rStyle w:val="Emphasis"/>
            <w:rFonts w:ascii="Cambria Math" w:hAnsi="Cambria Math"/>
          </w:rPr>
          <m:t>)</m:t>
        </m:r>
      </m:oMath>
      <w:r w:rsidRPr="006E566E">
        <w:t xml:space="preserve"> denotes the retrieval likelihood and </w:t>
      </w:r>
      <m:oMath>
        <m:r>
          <w:rPr>
            <w:rStyle w:val="Emphasis"/>
            <w:rFonts w:ascii="Cambria Math" w:hAnsi="Cambria Math"/>
          </w:rPr>
          <m:t>p</m:t>
        </m:r>
        <m:r>
          <m:rPr>
            <m:sty m:val="p"/>
          </m:rPr>
          <w:rPr>
            <w:rStyle w:val="Emphasis"/>
            <w:rFonts w:ascii="Cambria Math" w:hAnsi="Cambria Math"/>
          </w:rPr>
          <m:t>(</m:t>
        </m:r>
        <m:r>
          <w:rPr>
            <w:rStyle w:val="Emphasis"/>
            <w:rFonts w:ascii="Cambria Math" w:hAnsi="Cambria Math"/>
          </w:rPr>
          <m:t>y</m:t>
        </m:r>
        <m:r>
          <m:rPr>
            <m:sty m:val="p"/>
          </m:rPr>
          <w:rPr>
            <w:rStyle w:val="Emphasis"/>
            <w:rFonts w:ascii="Cambria Math" w:hAnsi="Cambria Math"/>
          </w:rPr>
          <m:t> | </m:t>
        </m:r>
        <m:r>
          <w:rPr>
            <w:rStyle w:val="Emphasis"/>
            <w:rFonts w:ascii="Cambria Math" w:hAnsi="Cambria Math"/>
          </w:rPr>
          <m:t>x</m:t>
        </m:r>
        <m:r>
          <m:rPr>
            <m:sty m:val="p"/>
          </m:rPr>
          <w:rPr>
            <w:rStyle w:val="Emphasis"/>
            <w:rFonts w:ascii="Cambria Math" w:hAnsi="Cambria Math"/>
          </w:rPr>
          <m:t>, </m:t>
        </m:r>
        <m:r>
          <w:rPr>
            <w:rStyle w:val="Emphasis"/>
            <w:rFonts w:ascii="Cambria Math" w:hAnsi="Cambria Math"/>
          </w:rPr>
          <m:t>d</m:t>
        </m:r>
        <m:r>
          <m:rPr>
            <m:sty m:val="p"/>
          </m:rPr>
          <w:rPr>
            <w:rStyle w:val="Emphasis"/>
            <w:rFonts w:ascii="Cambria Math" w:hAnsi="Cambria Math"/>
          </w:rPr>
          <m:t>)</m:t>
        </m:r>
      </m:oMath>
      <w:r w:rsidRPr="006E566E">
        <w:t xml:space="preserve"> represents the conditional generation probability [</w:t>
      </w:r>
      <w:r>
        <w:t>17</w:t>
      </w:r>
      <w:r w:rsidRPr="006E566E">
        <w:t xml:space="preserve">]. A typical RAG pipeline therefore comprises three modules: (1) a </w:t>
      </w:r>
      <w:r w:rsidRPr="006E566E">
        <w:rPr>
          <w:rStyle w:val="Strong"/>
          <w:b w:val="0"/>
          <w:bCs w:val="0"/>
        </w:rPr>
        <w:t>retriever</w:t>
      </w:r>
      <w:r w:rsidRPr="006E566E">
        <w:t xml:space="preserve">, which identifies the most relevant passages from a knowledge base; (2) a </w:t>
      </w:r>
      <w:r w:rsidRPr="006E566E">
        <w:rPr>
          <w:rStyle w:val="Strong"/>
          <w:b w:val="0"/>
          <w:bCs w:val="0"/>
        </w:rPr>
        <w:t>generator</w:t>
      </w:r>
      <w:r w:rsidRPr="006E566E">
        <w:t xml:space="preserve">, which synthesizes the final answer conditioned on those retrieved passages; and (3) </w:t>
      </w:r>
      <w:r w:rsidRPr="004D2574">
        <w:t>a</w:t>
      </w:r>
      <w:r w:rsidRPr="006E566E">
        <w:rPr>
          <w:b/>
          <w:bCs/>
        </w:rPr>
        <w:t xml:space="preserve"> </w:t>
      </w:r>
      <w:r w:rsidRPr="006E566E">
        <w:rPr>
          <w:rStyle w:val="Strong"/>
          <w:b w:val="0"/>
          <w:bCs w:val="0"/>
        </w:rPr>
        <w:t>fusion layer</w:t>
      </w:r>
      <w:r w:rsidRPr="006E566E">
        <w:t>, which integrates both stages for joint optimization [</w:t>
      </w:r>
      <w:r>
        <w:t>4</w:t>
      </w:r>
      <w:r w:rsidRPr="006E566E">
        <w:t xml:space="preserve">]. Retrievers may be </w:t>
      </w:r>
      <w:r w:rsidRPr="006E566E">
        <w:rPr>
          <w:rStyle w:val="Emphasis"/>
        </w:rPr>
        <w:t>sparse</w:t>
      </w:r>
      <w:r w:rsidRPr="006E566E">
        <w:t xml:space="preserve"> (e.g., BM25, TF-IDF) or </w:t>
      </w:r>
      <w:r w:rsidRPr="006E566E">
        <w:rPr>
          <w:rStyle w:val="Emphasis"/>
        </w:rPr>
        <w:t>dense</w:t>
      </w:r>
      <w:r w:rsidRPr="006E566E">
        <w:t xml:space="preserve"> (e.g., bi-encoders such as Sentence-BERT) depending on whether they rely on lexical or semantic similarity. </w:t>
      </w:r>
      <w:r w:rsidR="0099261D" w:rsidRPr="0099261D">
        <w:t>Recent studies show that hybrid retrievers—which combine sparse and dense embeddings—achieve superior balance between precision and recall across heterogeneous technical documents [18]. The overall architecture of the Retrieval-Augmented Generation (RAG) pipeline is illustrated in Figure 1, which depicts the end-to-end workflow from document ingestion and embedding through vector retrieval to evidence-grounded response generation.</w:t>
      </w:r>
      <w:r w:rsidR="0099261D">
        <w:t xml:space="preserve"> </w:t>
      </w:r>
    </w:p>
    <w:p w14:paraId="0EBD38E6" w14:textId="77777777" w:rsidR="001937DA" w:rsidRDefault="001937DA" w:rsidP="001937DA">
      <w:pPr>
        <w:jc w:val="both"/>
        <w:rPr>
          <w:lang w:bidi="fa-IR"/>
        </w:rPr>
      </w:pPr>
      <w:r>
        <w:rPr>
          <w:noProof/>
        </w:rPr>
        <w:drawing>
          <wp:inline distT="0" distB="0" distL="0" distR="0" wp14:anchorId="2F366308" wp14:editId="5481FDFA">
            <wp:extent cx="5731510" cy="2686685"/>
            <wp:effectExtent l="0" t="0" r="2540" b="0"/>
            <wp:docPr id="1744002925"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02925" name="Picture 1" descr="A diagram of a diagram&#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686685"/>
                    </a:xfrm>
                    <a:prstGeom prst="rect">
                      <a:avLst/>
                    </a:prstGeom>
                    <a:noFill/>
                    <a:ln>
                      <a:noFill/>
                    </a:ln>
                  </pic:spPr>
                </pic:pic>
              </a:graphicData>
            </a:graphic>
          </wp:inline>
        </w:drawing>
      </w:r>
    </w:p>
    <w:p w14:paraId="0C3C7B51" w14:textId="77777777" w:rsidR="001937DA" w:rsidRDefault="001937DA" w:rsidP="001937DA">
      <w:pPr>
        <w:jc w:val="center"/>
        <w:rPr>
          <w:lang w:bidi="fa-IR"/>
        </w:rPr>
      </w:pPr>
      <w:r w:rsidRPr="001937DA">
        <w:rPr>
          <w:rFonts w:eastAsiaTheme="minorEastAsia"/>
          <w:i/>
          <w:iCs/>
          <w:sz w:val="18"/>
          <w:szCs w:val="18"/>
        </w:rPr>
        <w:t xml:space="preserve">Figure 1. General workflow of a Retrieval-Augmented Generation (RAG) pipeline, showing document ingestion, embedding, vector retrieval, and evidence-grounded response generation. Adapted from </w:t>
      </w:r>
      <w:proofErr w:type="spellStart"/>
      <w:r w:rsidRPr="001937DA">
        <w:rPr>
          <w:rFonts w:eastAsiaTheme="minorEastAsia"/>
          <w:i/>
          <w:iCs/>
          <w:sz w:val="18"/>
          <w:szCs w:val="18"/>
        </w:rPr>
        <w:t>LangChain</w:t>
      </w:r>
      <w:proofErr w:type="spellEnd"/>
      <w:r w:rsidRPr="001937DA">
        <w:rPr>
          <w:rFonts w:eastAsiaTheme="minorEastAsia"/>
          <w:i/>
          <w:iCs/>
          <w:sz w:val="18"/>
          <w:szCs w:val="18"/>
        </w:rPr>
        <w:t xml:space="preserve"> and </w:t>
      </w:r>
      <w:proofErr w:type="spellStart"/>
      <w:r w:rsidRPr="001937DA">
        <w:rPr>
          <w:rFonts w:eastAsiaTheme="minorEastAsia"/>
          <w:i/>
          <w:iCs/>
          <w:sz w:val="18"/>
          <w:szCs w:val="18"/>
        </w:rPr>
        <w:t>LlamaIndex</w:t>
      </w:r>
      <w:proofErr w:type="spellEnd"/>
      <w:r w:rsidRPr="001937DA">
        <w:rPr>
          <w:rFonts w:eastAsiaTheme="minorEastAsia"/>
          <w:i/>
          <w:iCs/>
          <w:sz w:val="18"/>
          <w:szCs w:val="18"/>
        </w:rPr>
        <w:t xml:space="preserve"> open-source documentation (2024).</w:t>
      </w:r>
    </w:p>
    <w:p w14:paraId="075388E7" w14:textId="77777777" w:rsidR="00E75A8F" w:rsidRDefault="00E75A8F" w:rsidP="006E566E">
      <w:pPr>
        <w:jc w:val="both"/>
        <w:rPr>
          <w:lang w:bidi="fa-IR"/>
        </w:rPr>
      </w:pPr>
      <w:r w:rsidRPr="00E75A8F">
        <w:rPr>
          <w:lang w:bidi="fa-IR"/>
        </w:rPr>
        <w:t xml:space="preserve">Once the top-k documents are retrieved, the generator uses them as conditional inputs to produce the final response. Most RAG systems employ a transformer-based encoder–decoder architecture </w:t>
      </w:r>
      <w:r w:rsidRPr="00E75A8F">
        <w:rPr>
          <w:lang w:bidi="fa-IR"/>
        </w:rPr>
        <w:lastRenderedPageBreak/>
        <w:t>that concatenates the query with retrieved evidence and optimizes the negative log-likelihood (NLL) of the correct output given both inputs:</w:t>
      </w:r>
    </w:p>
    <w:p w14:paraId="5D6AA5A5" w14:textId="21949F47" w:rsidR="003C56C6" w:rsidRPr="003C56C6" w:rsidRDefault="003C56C6" w:rsidP="00E75A8F">
      <w:pPr>
        <w:jc w:val="both"/>
        <w:rPr>
          <w:rFonts w:eastAsiaTheme="minorEastAsia" w:hint="cs"/>
          <w:color w:val="000000" w:themeColor="text1"/>
          <w:rtl/>
          <w:lang w:bidi="fa-IR"/>
        </w:rPr>
      </w:pPr>
      <m:oMathPara>
        <m:oMath>
          <m:sSub>
            <m:sSubPr>
              <m:ctrlPr>
                <w:rPr>
                  <w:rFonts w:ascii="Cambria Math" w:eastAsiaTheme="minorEastAsia" w:hAnsi="Cambria Math"/>
                  <w:i/>
                  <w:color w:val="000000" w:themeColor="text1"/>
                  <w:lang w:bidi="fa-IR"/>
                </w:rPr>
              </m:ctrlPr>
            </m:sSubPr>
            <m:e>
              <m:r>
                <w:rPr>
                  <w:rFonts w:ascii="Cambria Math" w:eastAsiaTheme="minorEastAsia" w:hAnsi="Cambria Math"/>
                  <w:color w:val="000000" w:themeColor="text1"/>
                  <w:lang w:bidi="fa-IR"/>
                </w:rPr>
                <m:t>L</m:t>
              </m:r>
            </m:e>
            <m:sub>
              <m:r>
                <w:rPr>
                  <w:rFonts w:ascii="Cambria Math" w:eastAsiaTheme="minorEastAsia" w:hAnsi="Cambria Math"/>
                  <w:color w:val="000000" w:themeColor="text1"/>
                  <w:lang w:bidi="fa-IR"/>
                </w:rPr>
                <m:t>RAG</m:t>
              </m:r>
            </m:sub>
          </m:sSub>
          <m:d>
            <m:dPr>
              <m:ctrlPr>
                <w:rPr>
                  <w:rFonts w:ascii="Cambria Math" w:eastAsiaTheme="minorEastAsia" w:hAnsi="Cambria Math"/>
                  <w:i/>
                  <w:color w:val="000000" w:themeColor="text1"/>
                  <w:lang w:bidi="fa-IR"/>
                </w:rPr>
              </m:ctrlPr>
            </m:dPr>
            <m:e>
              <m:r>
                <w:rPr>
                  <w:rFonts w:ascii="Cambria Math" w:eastAsiaTheme="minorEastAsia" w:hAnsi="Cambria Math"/>
                  <w:color w:val="000000" w:themeColor="text1"/>
                  <w:lang w:bidi="fa-IR"/>
                </w:rPr>
                <m:t>x,y</m:t>
              </m:r>
            </m:e>
          </m:d>
          <m:r>
            <w:rPr>
              <w:rFonts w:ascii="Cambria Math" w:eastAsiaTheme="minorEastAsia" w:hAnsi="Cambria Math"/>
              <w:color w:val="000000" w:themeColor="text1"/>
              <w:lang w:bidi="fa-IR"/>
            </w:rPr>
            <m:t>=-</m:t>
          </m:r>
          <m:func>
            <m:funcPr>
              <m:ctrlPr>
                <w:rPr>
                  <w:rFonts w:ascii="Cambria Math" w:eastAsiaTheme="minorEastAsia" w:hAnsi="Cambria Math"/>
                  <w:color w:val="000000" w:themeColor="text1"/>
                  <w:lang w:bidi="fa-IR"/>
                </w:rPr>
              </m:ctrlPr>
            </m:funcPr>
            <m:fName>
              <m:r>
                <m:rPr>
                  <m:sty m:val="p"/>
                </m:rPr>
                <w:rPr>
                  <w:rFonts w:ascii="Cambria Math" w:eastAsiaTheme="minorEastAsia" w:hAnsi="Cambria Math"/>
                  <w:color w:val="000000" w:themeColor="text1"/>
                  <w:lang w:bidi="fa-IR"/>
                </w:rPr>
                <m:t>log</m:t>
              </m:r>
              <m:ctrlPr>
                <w:rPr>
                  <w:rFonts w:ascii="Cambria Math" w:eastAsiaTheme="minorEastAsia" w:hAnsi="Cambria Math"/>
                  <w:i/>
                  <w:color w:val="000000" w:themeColor="text1"/>
                  <w:lang w:bidi="fa-IR"/>
                </w:rPr>
              </m:ctrlPr>
            </m:fName>
            <m:e>
              <m:nary>
                <m:naryPr>
                  <m:chr m:val="∑"/>
                  <m:supHide m:val="1"/>
                  <m:ctrlPr>
                    <w:rPr>
                      <w:rFonts w:ascii="Cambria Math" w:eastAsiaTheme="minorEastAsia" w:hAnsi="Cambria Math"/>
                      <w:color w:val="000000" w:themeColor="text1"/>
                      <w:lang w:bidi="fa-IR"/>
                    </w:rPr>
                  </m:ctrlPr>
                </m:naryPr>
                <m:sub>
                  <m:r>
                    <w:rPr>
                      <w:rFonts w:ascii="Cambria Math" w:eastAsiaTheme="minorEastAsia" w:hAnsi="Cambria Math"/>
                      <w:color w:val="000000" w:themeColor="text1"/>
                      <w:lang w:bidi="fa-IR"/>
                    </w:rPr>
                    <m:t>d</m:t>
                  </m:r>
                  <m:r>
                    <m:rPr>
                      <m:sty m:val="p"/>
                    </m:rPr>
                    <w:rPr>
                      <w:rFonts w:ascii="Cambria Math" w:eastAsiaTheme="minorEastAsia" w:hAnsi="Cambria Math"/>
                      <w:color w:val="000000" w:themeColor="text1"/>
                      <w:lang w:bidi="fa-IR"/>
                    </w:rPr>
                    <m:t>∈</m:t>
                  </m:r>
                  <m:r>
                    <m:rPr>
                      <m:scr m:val="script"/>
                    </m:rPr>
                    <w:rPr>
                      <w:rFonts w:ascii="Cambria Math" w:eastAsiaTheme="minorEastAsia" w:hAnsi="Cambria Math"/>
                      <w:color w:val="000000" w:themeColor="text1"/>
                      <w:lang w:bidi="fa-IR"/>
                    </w:rPr>
                    <m:t>D</m:t>
                  </m:r>
                  <m:ctrlPr>
                    <w:rPr>
                      <w:rFonts w:ascii="Cambria Math" w:eastAsiaTheme="minorEastAsia" w:hAnsi="Cambria Math"/>
                      <w:i/>
                      <w:color w:val="000000" w:themeColor="text1"/>
                      <w:lang w:bidi="fa-IR"/>
                    </w:rPr>
                  </m:ctrlPr>
                </m:sub>
                <m:sup>
                  <m:ctrlPr>
                    <w:rPr>
                      <w:rFonts w:ascii="Cambria Math" w:eastAsiaTheme="minorEastAsia" w:hAnsi="Cambria Math"/>
                      <w:i/>
                      <w:color w:val="000000" w:themeColor="text1"/>
                      <w:lang w:bidi="fa-IR"/>
                    </w:rPr>
                  </m:ctrlPr>
                </m:sup>
                <m:e>
                  <m:r>
                    <w:rPr>
                      <w:rFonts w:ascii="Cambria Math" w:eastAsiaTheme="minorEastAsia" w:hAnsi="Cambria Math"/>
                      <w:color w:val="000000" w:themeColor="text1"/>
                      <w:lang w:bidi="fa-IR"/>
                    </w:rPr>
                    <m:t>P</m:t>
                  </m:r>
                  <m:d>
                    <m:dPr>
                      <m:sepChr m:val="∣"/>
                      <m:ctrlPr>
                        <w:rPr>
                          <w:rFonts w:ascii="Cambria Math" w:eastAsiaTheme="minorEastAsia" w:hAnsi="Cambria Math"/>
                          <w:i/>
                          <w:color w:val="000000" w:themeColor="text1"/>
                          <w:lang w:bidi="fa-IR"/>
                        </w:rPr>
                      </m:ctrlPr>
                    </m:dPr>
                    <m:e>
                      <m:r>
                        <w:rPr>
                          <w:rFonts w:ascii="Cambria Math" w:eastAsiaTheme="minorEastAsia" w:hAnsi="Cambria Math"/>
                          <w:color w:val="000000" w:themeColor="text1"/>
                          <w:lang w:bidi="fa-IR"/>
                        </w:rPr>
                        <m:t>d</m:t>
                      </m:r>
                      <m:ctrlPr>
                        <w:rPr>
                          <w:rFonts w:ascii="Cambria Math" w:eastAsiaTheme="minorEastAsia" w:hAnsi="Cambria Math"/>
                          <w:color w:val="000000" w:themeColor="text1"/>
                          <w:lang w:bidi="fa-IR"/>
                        </w:rPr>
                      </m:ctrlPr>
                    </m:e>
                    <m:e>
                      <m:r>
                        <w:rPr>
                          <w:rFonts w:ascii="Cambria Math" w:eastAsiaTheme="minorEastAsia" w:hAnsi="Cambria Math"/>
                          <w:color w:val="000000" w:themeColor="text1"/>
                          <w:lang w:bidi="fa-IR"/>
                        </w:rPr>
                        <m:t>x</m:t>
                      </m:r>
                    </m:e>
                  </m:d>
                  <m:ctrlPr>
                    <w:rPr>
                      <w:rFonts w:ascii="Cambria Math" w:eastAsiaTheme="minorEastAsia" w:hAnsi="Cambria Math"/>
                      <w:i/>
                      <w:color w:val="000000" w:themeColor="text1"/>
                      <w:lang w:bidi="fa-IR"/>
                    </w:rPr>
                  </m:ctrlPr>
                </m:e>
              </m:nary>
            </m:e>
          </m:func>
          <m:r>
            <w:rPr>
              <w:rFonts w:ascii="Cambria Math" w:eastAsiaTheme="minorEastAsia" w:hAnsi="Cambria Math"/>
              <w:color w:val="000000" w:themeColor="text1"/>
              <w:lang w:bidi="fa-IR"/>
            </w:rPr>
            <m:t> </m:t>
          </m:r>
          <m:r>
            <w:rPr>
              <w:rFonts w:ascii="Cambria Math" w:eastAsiaTheme="minorEastAsia" w:hAnsi="Cambria Math"/>
              <w:color w:val="000000" w:themeColor="text1"/>
              <w:lang w:bidi="fa-IR"/>
            </w:rPr>
            <m:t>P</m:t>
          </m:r>
          <m:d>
            <m:dPr>
              <m:sepChr m:val="∣"/>
              <m:ctrlPr>
                <w:rPr>
                  <w:rFonts w:ascii="Cambria Math" w:eastAsiaTheme="minorEastAsia" w:hAnsi="Cambria Math"/>
                  <w:i/>
                  <w:color w:val="000000" w:themeColor="text1"/>
                  <w:lang w:bidi="fa-IR"/>
                </w:rPr>
              </m:ctrlPr>
            </m:dPr>
            <m:e>
              <m:r>
                <w:rPr>
                  <w:rFonts w:ascii="Cambria Math" w:eastAsiaTheme="minorEastAsia" w:hAnsi="Cambria Math"/>
                  <w:color w:val="000000" w:themeColor="text1"/>
                  <w:lang w:bidi="fa-IR"/>
                </w:rPr>
                <m:t>y</m:t>
              </m:r>
              <m:ctrlPr>
                <w:rPr>
                  <w:rFonts w:ascii="Cambria Math" w:eastAsiaTheme="minorEastAsia" w:hAnsi="Cambria Math"/>
                  <w:color w:val="000000" w:themeColor="text1"/>
                  <w:lang w:bidi="fa-IR"/>
                </w:rPr>
              </m:ctrlPr>
            </m:e>
            <m:e>
              <m:r>
                <w:rPr>
                  <w:rFonts w:ascii="Cambria Math" w:eastAsiaTheme="minorEastAsia" w:hAnsi="Cambria Math"/>
                  <w:color w:val="000000" w:themeColor="text1"/>
                  <w:lang w:bidi="fa-IR"/>
                </w:rPr>
                <m:t>x,d</m:t>
              </m:r>
            </m:e>
          </m:d>
        </m:oMath>
      </m:oMathPara>
    </w:p>
    <w:p w14:paraId="659DC5DF" w14:textId="187E93DD" w:rsidR="00E75A8F" w:rsidRDefault="00E75A8F" w:rsidP="00E75A8F">
      <w:pPr>
        <w:jc w:val="both"/>
        <w:rPr>
          <w:lang w:bidi="fa-IR"/>
        </w:rPr>
      </w:pPr>
      <w:r>
        <w:rPr>
          <w:lang w:bidi="fa-IR"/>
        </w:rPr>
        <w:t>This objective aligns the retriever and generator so that retrieved passages directly support the generated text [19]. Because end-to-end optimization is computationally expensive, many implementations freeze one component while fine-tuning the other. Variants such as RAG-Sequence and RAG-Token differ in retrieval granularity—document- versus token-level fusion—balancing computational cost and contextual richness [4]. More recent extensions incorporate explainability mechanisms, sometimes termed RAG-Explain, which explicitly map each output token or sentence to its supporting document segment. Such attribution improves transparency in safety-critical domains, enabling human reviewers to verify every generated statement against authoritative evidence [20].</w:t>
      </w:r>
    </w:p>
    <w:p w14:paraId="70BCD938" w14:textId="77777777" w:rsidR="00E75A8F" w:rsidRDefault="00E75A8F" w:rsidP="000B318D">
      <w:pPr>
        <w:jc w:val="both"/>
        <w:rPr>
          <w:lang w:bidi="fa-IR"/>
        </w:rPr>
      </w:pPr>
      <w:r>
        <w:rPr>
          <w:lang w:bidi="fa-IR"/>
        </w:rPr>
        <w:t>Beyond accuracy, the central advantage of RAG is trustworthiness. Traditional LLMs may produce fluent but unverifiable text, whereas retrieval-augmented models justify each response by citing its evidence sources. This evidence-driven reasoning mirrors how human experts consult technical manuals or regulatory databases, making RAG architectures increasingly viewed as a foundation for explainable and auditable AI [21].</w:t>
      </w:r>
    </w:p>
    <w:p w14:paraId="17E6380D" w14:textId="77777777" w:rsidR="008A1F40" w:rsidRPr="008A1F40" w:rsidRDefault="008A1F40" w:rsidP="008A1F40">
      <w:pPr>
        <w:jc w:val="center"/>
        <w:rPr>
          <w:lang w:bidi="fa-IR"/>
        </w:rPr>
      </w:pPr>
    </w:p>
    <w:p w14:paraId="76010431" w14:textId="77777777" w:rsidR="00E75A8F" w:rsidRDefault="008A1F40" w:rsidP="008A1F40">
      <w:pPr>
        <w:jc w:val="both"/>
        <w:rPr>
          <w:lang w:bidi="fa-IR"/>
        </w:rPr>
      </w:pPr>
      <w:r w:rsidRPr="008A1F40">
        <w:rPr>
          <w:lang w:bidi="fa-IR"/>
        </w:rPr>
        <w:t>Beyond accuracy, the central advantage of RAG is trustworthiness. Traditional LLMs may produce fluent but unverifiable text, whereas retrieval-augmented models justify each response by citing its evidence sources. This evidence-driven reasoning mirrors how human experts consult technical manuals or regulatory databases, making RAG architectures increasingly viewed as a foundation for explainable and auditable AI [21]. A more detailed view of subsystem interaction is presented in Figure 2, which illustrates how dense retrieval, re-ranking, and generation modules interact to produce cita</w:t>
      </w:r>
      <w:r>
        <w:rPr>
          <w:lang w:bidi="fa-IR"/>
        </w:rPr>
        <w:t>tion-based, explainable answers</w:t>
      </w:r>
      <w:r w:rsidR="00E75A8F">
        <w:rPr>
          <w:lang w:bidi="fa-IR"/>
        </w:rPr>
        <w:t>.</w:t>
      </w:r>
    </w:p>
    <w:p w14:paraId="200AB1DB" w14:textId="77777777" w:rsidR="008A1F40" w:rsidRDefault="008A1F40" w:rsidP="008A1F40">
      <w:pPr>
        <w:jc w:val="center"/>
        <w:rPr>
          <w:rFonts w:eastAsiaTheme="minorEastAsia"/>
          <w:rtl/>
        </w:rPr>
      </w:pPr>
      <w:r>
        <w:rPr>
          <w:noProof/>
        </w:rPr>
        <w:lastRenderedPageBreak/>
        <w:drawing>
          <wp:inline distT="0" distB="0" distL="0" distR="0" wp14:anchorId="19F93205" wp14:editId="0800A743">
            <wp:extent cx="4342548" cy="4329077"/>
            <wp:effectExtent l="0" t="0" r="1270" b="0"/>
            <wp:docPr id="914149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49598" name=""/>
                    <pic:cNvPicPr/>
                  </pic:nvPicPr>
                  <pic:blipFill>
                    <a:blip r:embed="rId6"/>
                    <a:stretch>
                      <a:fillRect/>
                    </a:stretch>
                  </pic:blipFill>
                  <pic:spPr>
                    <a:xfrm>
                      <a:off x="0" y="0"/>
                      <a:ext cx="4348825" cy="4335334"/>
                    </a:xfrm>
                    <a:prstGeom prst="rect">
                      <a:avLst/>
                    </a:prstGeom>
                  </pic:spPr>
                </pic:pic>
              </a:graphicData>
            </a:graphic>
          </wp:inline>
        </w:drawing>
      </w:r>
    </w:p>
    <w:p w14:paraId="5555E152" w14:textId="77777777" w:rsidR="008A1F40" w:rsidRDefault="008A1F40" w:rsidP="008A1F40">
      <w:pPr>
        <w:jc w:val="center"/>
        <w:rPr>
          <w:rFonts w:eastAsiaTheme="minorEastAsia"/>
          <w:sz w:val="18"/>
          <w:szCs w:val="18"/>
        </w:rPr>
      </w:pPr>
      <w:r w:rsidRPr="008A1F40">
        <w:rPr>
          <w:rFonts w:eastAsiaTheme="minorEastAsia"/>
          <w:sz w:val="18"/>
          <w:szCs w:val="18"/>
        </w:rPr>
        <w:t>Figure 2. Conceptual illustration of the dense-retrieval and generation workflow in a RAG system, showing how retrieved passages are re-ranked and fused to produce explainable, citation-linked outputs.</w:t>
      </w:r>
    </w:p>
    <w:p w14:paraId="5AB1DA8F" w14:textId="77777777" w:rsidR="008A1F40" w:rsidRDefault="008A1F40" w:rsidP="008A1F40">
      <w:pPr>
        <w:jc w:val="both"/>
        <w:rPr>
          <w:lang w:bidi="fa-IR"/>
        </w:rPr>
      </w:pPr>
    </w:p>
    <w:p w14:paraId="741A7CA2" w14:textId="77777777" w:rsidR="001146C1" w:rsidRDefault="00E75A8F" w:rsidP="00E75A8F">
      <w:pPr>
        <w:jc w:val="both"/>
        <w:rPr>
          <w:lang w:bidi="fa-IR"/>
        </w:rPr>
      </w:pPr>
      <w:r>
        <w:rPr>
          <w:lang w:bidi="fa-IR"/>
        </w:rPr>
        <w:t>Parallel progress in the generation component explores adaptive prompting, knowledge fusion, and reinforcement learning to align model outputs with expert judgment. Emerging Self-RAG architectures even re-evaluate their own responses against retrieved passages, automatically detecting missing citations or inconsistencies [23]. Together, these advances mark a shift toward autonomous, verification-driven reasoning capable of supporting high-stakes decision processes.</w:t>
      </w:r>
    </w:p>
    <w:p w14:paraId="372C4724" w14:textId="77777777" w:rsidR="000C40ED" w:rsidRDefault="000C40ED" w:rsidP="000C40ED">
      <w:pPr>
        <w:jc w:val="both"/>
        <w:rPr>
          <w:lang w:bidi="fa-IR"/>
        </w:rPr>
      </w:pPr>
      <w:r>
        <w:rPr>
          <w:lang w:bidi="fa-IR"/>
        </w:rPr>
        <w:t>Beyond these architectural advances, RAG frameworks have begun to demonstrate practical value across a range of knowledge-intensive industries. In biomedical informatics, retrieval-augmented assistants are employed to summarize research papers, extract evidence for clinical decisions, and provide transparent diagnostic recommendations. In aerospace engineering, RAG systems assist maintenance and design teams by retrieving component manuals, safety bulletins, and configuration data to generate grounded troubleshooting advice. Similar methods are now applied in the energy and environmental sectors to interpret emission standards and sustainability regulations, and in legal and compliance domains to extract, summarize, and cross-reference regulatory clauses with verifiable citations [24–26].</w:t>
      </w:r>
    </w:p>
    <w:p w14:paraId="38B20652" w14:textId="77777777" w:rsidR="000C40ED" w:rsidRDefault="000C40ED" w:rsidP="000C40ED">
      <w:pPr>
        <w:jc w:val="both"/>
        <w:rPr>
          <w:lang w:bidi="fa-IR"/>
        </w:rPr>
      </w:pPr>
      <w:r>
        <w:rPr>
          <w:lang w:bidi="fa-IR"/>
        </w:rPr>
        <w:t xml:space="preserve">Despite this progress, the maritime industry has yet to fully benefit from retrieval-augmented intelligence. Classification societies such as DNV, ABS, and the Asia Classification Society (ACS) maintain extensive, highly structured rulebooks containing formulas, tables, and cross-referenced clauses that evolve through periodic updates. These complex documents pose major challenges for conventional LLMs trained on open-domain data, which often misread numeric conditions or retrieve </w:t>
      </w:r>
      <w:r>
        <w:rPr>
          <w:lang w:bidi="fa-IR"/>
        </w:rPr>
        <w:lastRenderedPageBreak/>
        <w:t>unrelated clauses. Consequently, naval architects and surveyors still rely on manual searches and verification, a process that is both time-consuming and prone to omission.</w:t>
      </w:r>
    </w:p>
    <w:p w14:paraId="20A95441" w14:textId="77777777" w:rsidR="000C40ED" w:rsidRDefault="000C40ED" w:rsidP="000C40ED">
      <w:pPr>
        <w:jc w:val="both"/>
        <w:rPr>
          <w:rtl/>
          <w:lang w:bidi="fa-IR"/>
        </w:rPr>
      </w:pPr>
      <w:r>
        <w:rPr>
          <w:lang w:bidi="fa-IR"/>
        </w:rPr>
        <w:t xml:space="preserve">Existing digital rule-search tools offer only literal keyword matching without semantic understanding. This gap underscores the need for an explainable, domain-specific RAG system capable of reasoning over maritime classification standards. Bridging this gap is more than a technological </w:t>
      </w:r>
      <w:proofErr w:type="gramStart"/>
      <w:r>
        <w:rPr>
          <w:lang w:bidi="fa-IR"/>
        </w:rPr>
        <w:t>improvement—it</w:t>
      </w:r>
      <w:proofErr w:type="gramEnd"/>
      <w:r>
        <w:rPr>
          <w:lang w:bidi="fa-IR"/>
        </w:rPr>
        <w:t xml:space="preserve"> represents a crucial step toward the digital transformation of ship classification, design review, and safety auditing.</w:t>
      </w:r>
    </w:p>
    <w:p w14:paraId="1B11FAA3" w14:textId="77777777" w:rsidR="00C52762" w:rsidRDefault="00C52762" w:rsidP="00C52762">
      <w:pPr>
        <w:rPr>
          <w:b/>
          <w:bCs/>
          <w:sz w:val="32"/>
          <w:szCs w:val="32"/>
          <w:rtl/>
        </w:rPr>
      </w:pPr>
    </w:p>
    <w:p w14:paraId="1BC8FB76" w14:textId="77777777" w:rsidR="00C52762" w:rsidRPr="0095319A" w:rsidRDefault="00C52762" w:rsidP="00C52762">
      <w:pPr>
        <w:rPr>
          <w:b/>
          <w:bCs/>
          <w:sz w:val="32"/>
          <w:szCs w:val="32"/>
          <w:rtl/>
          <w:lang w:bidi="fa-IR"/>
        </w:rPr>
      </w:pPr>
      <w:r w:rsidRPr="00D27BF3">
        <w:rPr>
          <w:b/>
          <w:bCs/>
          <w:sz w:val="32"/>
          <w:szCs w:val="32"/>
        </w:rPr>
        <w:t>3 Methodology</w:t>
      </w:r>
    </w:p>
    <w:p w14:paraId="086392D8" w14:textId="77777777" w:rsidR="00C52762" w:rsidRPr="00C52762" w:rsidRDefault="00C52762" w:rsidP="00C52762">
      <w:pPr>
        <w:rPr>
          <w:b/>
          <w:bCs/>
          <w:sz w:val="28"/>
          <w:szCs w:val="28"/>
        </w:rPr>
      </w:pPr>
      <w:r w:rsidRPr="00776F00">
        <w:rPr>
          <w:b/>
          <w:bCs/>
          <w:sz w:val="28"/>
          <w:szCs w:val="28"/>
        </w:rPr>
        <w:t>3.</w:t>
      </w:r>
      <w:r>
        <w:rPr>
          <w:b/>
          <w:bCs/>
          <w:sz w:val="28"/>
          <w:szCs w:val="28"/>
        </w:rPr>
        <w:t>1 Data Source and Preprocessing</w:t>
      </w:r>
    </w:p>
    <w:p w14:paraId="6F052C0D" w14:textId="77777777" w:rsidR="000C40ED" w:rsidRDefault="00C52762" w:rsidP="00C52762">
      <w:pPr>
        <w:jc w:val="both"/>
      </w:pPr>
      <w:r>
        <w:t>T</w:t>
      </w:r>
      <w:r w:rsidR="000C40ED">
        <w:t>he proprietary corpus used in this study comprises the Rules and Regulations for the Classification of Ships (2022), published by the Iranian Classification Institute. The dataset consists of a 3,229-page PDF containing highly structured information, including dense technical text, numerical tables, and mathematical formulas. Such a corpus presents major challenges for retrieval-augmented systems, as standard text extraction pipelines fail to preserve tabular relations or recognize equations in machine-readable form. Direct ingestion of this material into a RAG framework would therefore cause semantic loss and inaccurate retrieval.</w:t>
      </w:r>
    </w:p>
    <w:p w14:paraId="3477E8C8" w14:textId="6D1985F8" w:rsidR="000C40ED" w:rsidRDefault="000C40ED" w:rsidP="00C52762">
      <w:pPr>
        <w:jc w:val="both"/>
      </w:pPr>
      <w:r>
        <w:t xml:space="preserve">To address these issues, a multi-stage structure-aware preprocessing pipeline was implemented (Figure 3). In the first stage, the original PDF was converted into high-resolution images using the </w:t>
      </w:r>
      <m:oMath>
        <m:r>
          <w:rPr>
            <w:rFonts w:ascii="Cambria Math" w:hAnsi="Cambria Math"/>
          </w:rPr>
          <m:t>PyMuPDF (fitz)</m:t>
        </m:r>
      </m:oMath>
      <w:r>
        <w:t xml:space="preserve"> library, ensuring full geometric and typographic fidelity—essential for detecting layout-dependent content such as tables and equations. Next, ByteDance’s Dolphin OCR framework was applied for layout-aware segmentation, distinguishing between paragraphs, formulas, tables, and captions, and exporting them into a structured JSON format. Each entry retained both its semantic type (text, table, or formula) and spatial metadata (page number, position).</w:t>
      </w:r>
    </w:p>
    <w:p w14:paraId="772A1672" w14:textId="77777777" w:rsidR="00C52762" w:rsidRDefault="00C52762" w:rsidP="00C52762">
      <w:pPr>
        <w:rPr>
          <w:rtl/>
        </w:rPr>
      </w:pPr>
      <w:r>
        <w:rPr>
          <w:noProof/>
        </w:rPr>
        <w:drawing>
          <wp:inline distT="0" distB="0" distL="0" distR="0" wp14:anchorId="1C1D66B8" wp14:editId="2EFA6F38">
            <wp:extent cx="5731510" cy="2284730"/>
            <wp:effectExtent l="0" t="0" r="2540" b="1270"/>
            <wp:docPr id="1305244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284730"/>
                    </a:xfrm>
                    <a:prstGeom prst="rect">
                      <a:avLst/>
                    </a:prstGeom>
                    <a:noFill/>
                    <a:ln>
                      <a:noFill/>
                    </a:ln>
                  </pic:spPr>
                </pic:pic>
              </a:graphicData>
            </a:graphic>
          </wp:inline>
        </w:drawing>
      </w:r>
    </w:p>
    <w:p w14:paraId="24AC12CB" w14:textId="77777777" w:rsidR="00C52762" w:rsidRPr="00C52762" w:rsidRDefault="00C52762" w:rsidP="00060A3D">
      <w:pPr>
        <w:jc w:val="center"/>
        <w:rPr>
          <w:sz w:val="18"/>
          <w:szCs w:val="18"/>
        </w:rPr>
      </w:pPr>
      <w:r w:rsidRPr="00776F00">
        <w:rPr>
          <w:b/>
          <w:bCs/>
          <w:sz w:val="18"/>
          <w:szCs w:val="18"/>
        </w:rPr>
        <w:t xml:space="preserve">Figure </w:t>
      </w:r>
      <w:r>
        <w:rPr>
          <w:b/>
          <w:bCs/>
          <w:sz w:val="18"/>
          <w:szCs w:val="18"/>
        </w:rPr>
        <w:t xml:space="preserve">3. </w:t>
      </w:r>
      <w:r w:rsidRPr="00776F00">
        <w:rPr>
          <w:sz w:val="18"/>
          <w:szCs w:val="18"/>
        </w:rPr>
        <w:t>Structure-aware preprocessing pipeline for converting the 3,229-page rulebook PDF into a semantically enriched vector database used in the RAG system.</w:t>
      </w:r>
    </w:p>
    <w:p w14:paraId="7859C77D" w14:textId="77777777" w:rsidR="000C40ED" w:rsidRDefault="000C40ED" w:rsidP="00060A3D">
      <w:pPr>
        <w:jc w:val="both"/>
      </w:pPr>
      <w:r>
        <w:t xml:space="preserve">The extracted JSON records were then validated and normalized through the OpenAI API, which corrected OCR artifacts, standardized whitespace, and formatted mathematical and tabular elements in machine-readable form (LaTeX for equations; key–value arrays for tables). Each element was </w:t>
      </w:r>
      <w:r>
        <w:lastRenderedPageBreak/>
        <w:t>annotated with three metadata fields—record ID, source page and section, and content type—enabling precise traceability during later evidence retrieval.</w:t>
      </w:r>
    </w:p>
    <w:p w14:paraId="27470D22" w14:textId="77777777" w:rsidR="000C40ED" w:rsidRDefault="000C40ED" w:rsidP="00060A3D">
      <w:pPr>
        <w:jc w:val="both"/>
      </w:pPr>
      <w:r>
        <w:t>The verified corpus was segmented into overlapping textual chunks of 500 characters with a 50-character overlap, a configuration empirically determined to balance retrieval granularity and contextual coherence. Each chunk was embedded using OpenAI’s text-embedding-3-large model and indexed with FAISS, supporting efficient semantic retrieval across the regulatory domain.</w:t>
      </w:r>
    </w:p>
    <w:p w14:paraId="6BCF9B9A" w14:textId="77777777" w:rsidR="000C40ED" w:rsidRDefault="000C40ED" w:rsidP="00060A3D">
      <w:pPr>
        <w:jc w:val="both"/>
      </w:pPr>
      <w:r>
        <w:t>This preprocessing framework transformed a complex regulatory document into a semantically enriched, query-ready knowledge base that preserves tables, equations, and contextual metadata—an essential foundation for reliable retrieval and explainable generation in the proposed RAG system.</w:t>
      </w:r>
    </w:p>
    <w:p w14:paraId="16916360" w14:textId="77777777" w:rsidR="0099062C" w:rsidRDefault="000C40ED" w:rsidP="000C40ED">
      <w:pPr>
        <w:jc w:val="both"/>
      </w:pPr>
      <w:r>
        <w:t>The metadata schema describing each chunk is summarized in Table 1.</w:t>
      </w:r>
    </w:p>
    <w:tbl>
      <w:tblPr>
        <w:tblStyle w:val="TableGrid"/>
        <w:tblW w:w="0" w:type="auto"/>
        <w:jc w:val="center"/>
        <w:tblLook w:val="04A0" w:firstRow="1" w:lastRow="0" w:firstColumn="1" w:lastColumn="0" w:noHBand="0" w:noVBand="1"/>
      </w:tblPr>
      <w:tblGrid>
        <w:gridCol w:w="1281"/>
        <w:gridCol w:w="4212"/>
        <w:gridCol w:w="2920"/>
      </w:tblGrid>
      <w:tr w:rsidR="00C52762" w:rsidRPr="00845B08" w14:paraId="6661711F" w14:textId="77777777" w:rsidTr="00060A3D">
        <w:trPr>
          <w:jc w:val="center"/>
        </w:trPr>
        <w:tc>
          <w:tcPr>
            <w:tcW w:w="0" w:type="auto"/>
            <w:gridSpan w:val="3"/>
          </w:tcPr>
          <w:p w14:paraId="629E1A3D" w14:textId="77777777" w:rsidR="00C52762" w:rsidRPr="00C52762" w:rsidRDefault="00C52762" w:rsidP="00C52762">
            <w:pPr>
              <w:pStyle w:val="NormalWeb"/>
              <w:jc w:val="center"/>
            </w:pPr>
            <w:r>
              <w:rPr>
                <w:rStyle w:val="Strong"/>
              </w:rPr>
              <w:t>Table 1.</w:t>
            </w:r>
            <w:r>
              <w:t xml:space="preserve"> </w:t>
            </w:r>
            <w:r>
              <w:rPr>
                <w:rStyle w:val="Emphasis"/>
              </w:rPr>
              <w:t xml:space="preserve">Metadata fields </w:t>
            </w:r>
            <w:proofErr w:type="gramStart"/>
            <w:r>
              <w:rPr>
                <w:rStyle w:val="Emphasis"/>
              </w:rPr>
              <w:t>used</w:t>
            </w:r>
            <w:proofErr w:type="gramEnd"/>
            <w:r>
              <w:rPr>
                <w:rStyle w:val="Emphasis"/>
              </w:rPr>
              <w:t xml:space="preserve"> in the structured corpus.</w:t>
            </w:r>
          </w:p>
        </w:tc>
      </w:tr>
      <w:tr w:rsidR="00C52762" w:rsidRPr="00845B08" w14:paraId="4D5D5D3B" w14:textId="77777777" w:rsidTr="00060A3D">
        <w:trPr>
          <w:jc w:val="center"/>
        </w:trPr>
        <w:tc>
          <w:tcPr>
            <w:tcW w:w="0" w:type="auto"/>
            <w:hideMark/>
          </w:tcPr>
          <w:p w14:paraId="433D9FBB" w14:textId="77777777" w:rsidR="00C52762" w:rsidRPr="00845B08" w:rsidRDefault="00C52762" w:rsidP="00CB1ABF">
            <w:pPr>
              <w:rPr>
                <w:b/>
                <w:bCs/>
                <w:lang w:bidi="fa-IR"/>
              </w:rPr>
            </w:pPr>
            <w:r w:rsidRPr="00845B08">
              <w:rPr>
                <w:b/>
                <w:bCs/>
                <w:lang w:bidi="fa-IR"/>
              </w:rPr>
              <w:t>Field</w:t>
            </w:r>
          </w:p>
        </w:tc>
        <w:tc>
          <w:tcPr>
            <w:tcW w:w="0" w:type="auto"/>
            <w:hideMark/>
          </w:tcPr>
          <w:p w14:paraId="2E25B13C" w14:textId="77777777" w:rsidR="00C52762" w:rsidRPr="00845B08" w:rsidRDefault="00C52762" w:rsidP="00CB1ABF">
            <w:pPr>
              <w:rPr>
                <w:b/>
                <w:bCs/>
                <w:lang w:bidi="fa-IR"/>
              </w:rPr>
            </w:pPr>
            <w:r w:rsidRPr="00845B08">
              <w:rPr>
                <w:b/>
                <w:bCs/>
                <w:lang w:bidi="fa-IR"/>
              </w:rPr>
              <w:t>Description</w:t>
            </w:r>
          </w:p>
        </w:tc>
        <w:tc>
          <w:tcPr>
            <w:tcW w:w="0" w:type="auto"/>
            <w:hideMark/>
          </w:tcPr>
          <w:p w14:paraId="770D1EA3" w14:textId="77777777" w:rsidR="00C52762" w:rsidRPr="00845B08" w:rsidRDefault="00C52762" w:rsidP="00CB1ABF">
            <w:pPr>
              <w:rPr>
                <w:b/>
                <w:bCs/>
                <w:lang w:bidi="fa-IR"/>
              </w:rPr>
            </w:pPr>
            <w:r w:rsidRPr="00845B08">
              <w:rPr>
                <w:b/>
                <w:bCs/>
                <w:lang w:bidi="fa-IR"/>
              </w:rPr>
              <w:t>Example</w:t>
            </w:r>
          </w:p>
        </w:tc>
      </w:tr>
      <w:tr w:rsidR="00C52762" w:rsidRPr="00845B08" w14:paraId="6BDC4BCB" w14:textId="77777777" w:rsidTr="00060A3D">
        <w:trPr>
          <w:jc w:val="center"/>
        </w:trPr>
        <w:tc>
          <w:tcPr>
            <w:tcW w:w="0" w:type="auto"/>
            <w:hideMark/>
          </w:tcPr>
          <w:p w14:paraId="11CE90C1" w14:textId="77777777" w:rsidR="00C52762" w:rsidRPr="00845B08" w:rsidRDefault="00C52762" w:rsidP="00CB1ABF">
            <w:pPr>
              <w:rPr>
                <w:lang w:bidi="fa-IR"/>
              </w:rPr>
            </w:pPr>
            <w:proofErr w:type="spellStart"/>
            <w:r w:rsidRPr="00845B08">
              <w:rPr>
                <w:lang w:bidi="fa-IR"/>
              </w:rPr>
              <w:t>record_id</w:t>
            </w:r>
            <w:proofErr w:type="spellEnd"/>
          </w:p>
        </w:tc>
        <w:tc>
          <w:tcPr>
            <w:tcW w:w="0" w:type="auto"/>
            <w:hideMark/>
          </w:tcPr>
          <w:p w14:paraId="3C93FA4E" w14:textId="77777777" w:rsidR="00C52762" w:rsidRPr="00845B08" w:rsidRDefault="00C52762" w:rsidP="00CB1ABF">
            <w:pPr>
              <w:rPr>
                <w:lang w:bidi="fa-IR"/>
              </w:rPr>
            </w:pPr>
            <w:r w:rsidRPr="00845B08">
              <w:rPr>
                <w:lang w:bidi="fa-IR"/>
              </w:rPr>
              <w:t>Unique identifier for each extracted element</w:t>
            </w:r>
          </w:p>
        </w:tc>
        <w:tc>
          <w:tcPr>
            <w:tcW w:w="0" w:type="auto"/>
            <w:hideMark/>
          </w:tcPr>
          <w:p w14:paraId="13F65309" w14:textId="77777777" w:rsidR="00C52762" w:rsidRPr="00845B08" w:rsidRDefault="00C52762" w:rsidP="00CB1ABF">
            <w:pPr>
              <w:rPr>
                <w:lang w:bidi="fa-IR"/>
              </w:rPr>
            </w:pPr>
            <w:r w:rsidRPr="00845B08">
              <w:rPr>
                <w:lang w:bidi="fa-IR"/>
              </w:rPr>
              <w:t>RAG_000145</w:t>
            </w:r>
          </w:p>
        </w:tc>
      </w:tr>
      <w:tr w:rsidR="00C52762" w:rsidRPr="00845B08" w14:paraId="4543BDD7" w14:textId="77777777" w:rsidTr="00060A3D">
        <w:trPr>
          <w:jc w:val="center"/>
        </w:trPr>
        <w:tc>
          <w:tcPr>
            <w:tcW w:w="0" w:type="auto"/>
            <w:hideMark/>
          </w:tcPr>
          <w:p w14:paraId="7D54AE8B" w14:textId="77777777" w:rsidR="00C52762" w:rsidRPr="00845B08" w:rsidRDefault="00C52762" w:rsidP="00CB1ABF">
            <w:pPr>
              <w:rPr>
                <w:lang w:bidi="fa-IR"/>
              </w:rPr>
            </w:pPr>
            <w:r w:rsidRPr="00845B08">
              <w:rPr>
                <w:lang w:bidi="fa-IR"/>
              </w:rPr>
              <w:t>page</w:t>
            </w:r>
          </w:p>
        </w:tc>
        <w:tc>
          <w:tcPr>
            <w:tcW w:w="0" w:type="auto"/>
            <w:hideMark/>
          </w:tcPr>
          <w:p w14:paraId="34B8F7D1" w14:textId="77777777" w:rsidR="00C52762" w:rsidRPr="00845B08" w:rsidRDefault="00C52762" w:rsidP="00CB1ABF">
            <w:pPr>
              <w:rPr>
                <w:lang w:bidi="fa-IR"/>
              </w:rPr>
            </w:pPr>
            <w:r w:rsidRPr="00845B08">
              <w:rPr>
                <w:lang w:bidi="fa-IR"/>
              </w:rPr>
              <w:t>Page number in the source PDF</w:t>
            </w:r>
          </w:p>
        </w:tc>
        <w:tc>
          <w:tcPr>
            <w:tcW w:w="0" w:type="auto"/>
            <w:hideMark/>
          </w:tcPr>
          <w:p w14:paraId="3707E75D" w14:textId="77777777" w:rsidR="00C52762" w:rsidRPr="00845B08" w:rsidRDefault="00C52762" w:rsidP="00CB1ABF">
            <w:pPr>
              <w:rPr>
                <w:lang w:bidi="fa-IR"/>
              </w:rPr>
            </w:pPr>
            <w:r w:rsidRPr="00845B08">
              <w:rPr>
                <w:lang w:bidi="fa-IR"/>
              </w:rPr>
              <w:t>215</w:t>
            </w:r>
          </w:p>
        </w:tc>
      </w:tr>
      <w:tr w:rsidR="00C52762" w:rsidRPr="00845B08" w14:paraId="7D8E9FB5" w14:textId="77777777" w:rsidTr="00060A3D">
        <w:trPr>
          <w:jc w:val="center"/>
        </w:trPr>
        <w:tc>
          <w:tcPr>
            <w:tcW w:w="0" w:type="auto"/>
            <w:hideMark/>
          </w:tcPr>
          <w:p w14:paraId="52D6BFE4" w14:textId="77777777" w:rsidR="00C52762" w:rsidRPr="00845B08" w:rsidRDefault="00C52762" w:rsidP="00CB1ABF">
            <w:pPr>
              <w:rPr>
                <w:lang w:bidi="fa-IR"/>
              </w:rPr>
            </w:pPr>
            <w:r w:rsidRPr="00845B08">
              <w:rPr>
                <w:lang w:bidi="fa-IR"/>
              </w:rPr>
              <w:t>type</w:t>
            </w:r>
          </w:p>
        </w:tc>
        <w:tc>
          <w:tcPr>
            <w:tcW w:w="0" w:type="auto"/>
            <w:hideMark/>
          </w:tcPr>
          <w:p w14:paraId="138C5F0E" w14:textId="77777777" w:rsidR="00C52762" w:rsidRPr="00845B08" w:rsidRDefault="00C52762" w:rsidP="00CB1ABF">
            <w:pPr>
              <w:rPr>
                <w:lang w:bidi="fa-IR"/>
              </w:rPr>
            </w:pPr>
            <w:r w:rsidRPr="00845B08">
              <w:rPr>
                <w:lang w:bidi="fa-IR"/>
              </w:rPr>
              <w:t>Content type (text/table/formula)</w:t>
            </w:r>
          </w:p>
        </w:tc>
        <w:tc>
          <w:tcPr>
            <w:tcW w:w="0" w:type="auto"/>
            <w:hideMark/>
          </w:tcPr>
          <w:p w14:paraId="0B274BAB" w14:textId="77777777" w:rsidR="00C52762" w:rsidRPr="00845B08" w:rsidRDefault="00C52762" w:rsidP="00CB1ABF">
            <w:pPr>
              <w:rPr>
                <w:lang w:bidi="fa-IR"/>
              </w:rPr>
            </w:pPr>
            <w:r w:rsidRPr="00845B08">
              <w:rPr>
                <w:lang w:bidi="fa-IR"/>
              </w:rPr>
              <w:t>table</w:t>
            </w:r>
          </w:p>
        </w:tc>
      </w:tr>
      <w:tr w:rsidR="00C52762" w:rsidRPr="00845B08" w14:paraId="6C8F3012" w14:textId="77777777" w:rsidTr="00060A3D">
        <w:trPr>
          <w:jc w:val="center"/>
        </w:trPr>
        <w:tc>
          <w:tcPr>
            <w:tcW w:w="0" w:type="auto"/>
            <w:hideMark/>
          </w:tcPr>
          <w:p w14:paraId="6391D29F" w14:textId="77777777" w:rsidR="00C52762" w:rsidRPr="00845B08" w:rsidRDefault="00C52762" w:rsidP="00CB1ABF">
            <w:pPr>
              <w:rPr>
                <w:lang w:bidi="fa-IR"/>
              </w:rPr>
            </w:pPr>
            <w:proofErr w:type="spellStart"/>
            <w:r w:rsidRPr="00845B08">
              <w:rPr>
                <w:lang w:bidi="fa-IR"/>
              </w:rPr>
              <w:t>source_title</w:t>
            </w:r>
            <w:proofErr w:type="spellEnd"/>
          </w:p>
        </w:tc>
        <w:tc>
          <w:tcPr>
            <w:tcW w:w="0" w:type="auto"/>
            <w:hideMark/>
          </w:tcPr>
          <w:p w14:paraId="6C49FEF1" w14:textId="77777777" w:rsidR="00C52762" w:rsidRPr="00845B08" w:rsidRDefault="00C52762" w:rsidP="00CB1ABF">
            <w:pPr>
              <w:rPr>
                <w:lang w:bidi="fa-IR"/>
              </w:rPr>
            </w:pPr>
            <w:r w:rsidRPr="00845B08">
              <w:rPr>
                <w:lang w:bidi="fa-IR"/>
              </w:rPr>
              <w:t>Rule section or chapter</w:t>
            </w:r>
          </w:p>
        </w:tc>
        <w:tc>
          <w:tcPr>
            <w:tcW w:w="0" w:type="auto"/>
            <w:hideMark/>
          </w:tcPr>
          <w:p w14:paraId="6DC653F1" w14:textId="77777777" w:rsidR="00C52762" w:rsidRPr="00845B08" w:rsidRDefault="00C52762" w:rsidP="00CB1ABF">
            <w:pPr>
              <w:rPr>
                <w:lang w:bidi="fa-IR"/>
              </w:rPr>
            </w:pPr>
            <w:r w:rsidRPr="00845B08">
              <w:rPr>
                <w:lang w:bidi="fa-IR"/>
              </w:rPr>
              <w:t>“Hull Scantling Requirements”</w:t>
            </w:r>
          </w:p>
        </w:tc>
      </w:tr>
      <w:tr w:rsidR="00C52762" w:rsidRPr="00845B08" w14:paraId="42BF9F84" w14:textId="77777777" w:rsidTr="00060A3D">
        <w:trPr>
          <w:jc w:val="center"/>
        </w:trPr>
        <w:tc>
          <w:tcPr>
            <w:tcW w:w="0" w:type="auto"/>
            <w:hideMark/>
          </w:tcPr>
          <w:p w14:paraId="4C34158E" w14:textId="77777777" w:rsidR="00C52762" w:rsidRPr="00845B08" w:rsidRDefault="00C52762" w:rsidP="00CB1ABF">
            <w:pPr>
              <w:rPr>
                <w:lang w:bidi="fa-IR"/>
              </w:rPr>
            </w:pPr>
            <w:r w:rsidRPr="00845B08">
              <w:rPr>
                <w:lang w:bidi="fa-IR"/>
              </w:rPr>
              <w:t>content</w:t>
            </w:r>
          </w:p>
        </w:tc>
        <w:tc>
          <w:tcPr>
            <w:tcW w:w="0" w:type="auto"/>
            <w:hideMark/>
          </w:tcPr>
          <w:p w14:paraId="052BBB89" w14:textId="77777777" w:rsidR="00C52762" w:rsidRPr="00845B08" w:rsidRDefault="00C52762" w:rsidP="00CB1ABF">
            <w:pPr>
              <w:rPr>
                <w:lang w:bidi="fa-IR"/>
              </w:rPr>
            </w:pPr>
            <w:r w:rsidRPr="00845B08">
              <w:rPr>
                <w:lang w:bidi="fa-IR"/>
              </w:rPr>
              <w:t>Cleaned textual or JSON representation</w:t>
            </w:r>
          </w:p>
        </w:tc>
        <w:tc>
          <w:tcPr>
            <w:tcW w:w="0" w:type="auto"/>
            <w:hideMark/>
          </w:tcPr>
          <w:p w14:paraId="79C62D2A" w14:textId="77777777" w:rsidR="00C52762" w:rsidRPr="00845B08" w:rsidRDefault="00C52762" w:rsidP="00CB1ABF">
            <w:pPr>
              <w:rPr>
                <w:lang w:bidi="fa-IR"/>
              </w:rPr>
            </w:pPr>
            <w:r w:rsidRPr="00845B08">
              <w:rPr>
                <w:lang w:bidi="fa-IR"/>
              </w:rPr>
              <w:t>{“Thickness”: “t=5.5 mm”, ...}</w:t>
            </w:r>
          </w:p>
        </w:tc>
      </w:tr>
    </w:tbl>
    <w:p w14:paraId="4C575D26" w14:textId="77777777" w:rsidR="00C52762" w:rsidRDefault="00C52762" w:rsidP="00C52762">
      <w:pPr>
        <w:jc w:val="center"/>
      </w:pPr>
    </w:p>
    <w:p w14:paraId="4E9D5E9C" w14:textId="77777777" w:rsidR="00060A3D" w:rsidRPr="00060A3D" w:rsidRDefault="00060A3D" w:rsidP="00060A3D">
      <w:pPr>
        <w:rPr>
          <w:b/>
          <w:bCs/>
          <w:sz w:val="28"/>
          <w:szCs w:val="28"/>
        </w:rPr>
      </w:pPr>
      <w:r w:rsidRPr="00060A3D">
        <w:rPr>
          <w:b/>
          <w:bCs/>
          <w:sz w:val="28"/>
          <w:szCs w:val="28"/>
        </w:rPr>
        <w:t>3.2 Retrieval Models</w:t>
      </w:r>
    </w:p>
    <w:p w14:paraId="06435E6B" w14:textId="77777777" w:rsidR="00430FA0" w:rsidRDefault="00430FA0" w:rsidP="00430FA0">
      <w:pPr>
        <w:spacing w:before="100" w:beforeAutospacing="1" w:after="100" w:afterAutospacing="1" w:line="240" w:lineRule="auto"/>
        <w:jc w:val="both"/>
        <w:outlineLvl w:val="2"/>
      </w:pPr>
      <w:r>
        <w:t xml:space="preserve">The retrieval layer of the proposed framework was designed around a single engineering priority: </w:t>
      </w:r>
      <w:proofErr w:type="gramStart"/>
      <w:r>
        <w:t>maximize</w:t>
      </w:r>
      <w:proofErr w:type="gramEnd"/>
      <w:r>
        <w:t xml:space="preserve"> accuracy, even at the expense of computational efficiency. In maritime regulatory contexts—where small numerical discrepancies or clause misinterpretations can affect vessel safety and certification—retrieval precision outweighs response </w:t>
      </w:r>
      <w:proofErr w:type="spellStart"/>
      <w:proofErr w:type="gramStart"/>
      <w:r>
        <w:t>speed.To</w:t>
      </w:r>
      <w:proofErr w:type="spellEnd"/>
      <w:proofErr w:type="gramEnd"/>
      <w:r>
        <w:t xml:space="preserve"> meet this requirement, four retrieval strategies were implemented and compared: dense, sparse, hybrid, and hybrid-rank </w:t>
      </w:r>
      <w:proofErr w:type="spellStart"/>
      <w:proofErr w:type="gramStart"/>
      <w:r>
        <w:t>retrieval.Each</w:t>
      </w:r>
      <w:proofErr w:type="spellEnd"/>
      <w:proofErr w:type="gramEnd"/>
      <w:r>
        <w:t xml:space="preserve"> explores a different balance between semantic understanding and lexical fidelity.</w:t>
      </w:r>
    </w:p>
    <w:p w14:paraId="6189D6E2" w14:textId="77777777" w:rsidR="00060A3D" w:rsidRPr="00060A3D" w:rsidRDefault="00060A3D" w:rsidP="00430FA0">
      <w:pPr>
        <w:spacing w:before="100" w:beforeAutospacing="1" w:after="100" w:afterAutospacing="1" w:line="240" w:lineRule="auto"/>
        <w:outlineLvl w:val="2"/>
        <w:rPr>
          <w:rFonts w:ascii="Times New Roman" w:eastAsia="Times New Roman" w:hAnsi="Times New Roman" w:cs="Times New Roman"/>
          <w:b/>
          <w:bCs/>
          <w:sz w:val="27"/>
          <w:szCs w:val="27"/>
        </w:rPr>
      </w:pPr>
      <w:r w:rsidRPr="00060A3D">
        <w:rPr>
          <w:rFonts w:ascii="Times New Roman" w:eastAsia="Times New Roman" w:hAnsi="Times New Roman" w:cs="Times New Roman"/>
          <w:b/>
          <w:bCs/>
          <w:sz w:val="27"/>
          <w:szCs w:val="27"/>
        </w:rPr>
        <w:t>3.2.1 Dense Retrieval</w:t>
      </w:r>
    </w:p>
    <w:p w14:paraId="000575CC"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The dense retrieval model employs high-dimensional embeddings to capture semantic similarity between user queries and regulatory content.</w:t>
      </w:r>
      <w:r w:rsidRPr="00430FA0">
        <w:rPr>
          <w:rFonts w:ascii="Times New Roman" w:eastAsia="Times New Roman" w:hAnsi="Times New Roman" w:cs="Times New Roman"/>
          <w:sz w:val="24"/>
          <w:szCs w:val="24"/>
        </w:rPr>
        <w:br/>
        <w:t xml:space="preserve">Each preprocessed chunk from Section 3.1 was embedded using </w:t>
      </w:r>
      <w:r w:rsidRPr="00430FA0">
        <w:rPr>
          <w:rFonts w:ascii="Times New Roman" w:eastAsia="Times New Roman" w:hAnsi="Times New Roman" w:cs="Times New Roman"/>
          <w:i/>
          <w:iCs/>
          <w:sz w:val="24"/>
          <w:szCs w:val="24"/>
        </w:rPr>
        <w:t>text-embedding-3-large</w:t>
      </w: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and</w:t>
      </w:r>
      <w:r w:rsidRPr="00430FA0">
        <w:rPr>
          <w:rFonts w:ascii="Times New Roman" w:eastAsia="Times New Roman" w:hAnsi="Times New Roman" w:cs="Times New Roman"/>
          <w:sz w:val="24"/>
          <w:szCs w:val="24"/>
        </w:rPr>
        <w:t>stored</w:t>
      </w:r>
      <w:proofErr w:type="spellEnd"/>
      <w:proofErr w:type="gramEnd"/>
      <w:r w:rsidRPr="00430FA0">
        <w:rPr>
          <w:rFonts w:ascii="Times New Roman" w:eastAsia="Times New Roman" w:hAnsi="Times New Roman" w:cs="Times New Roman"/>
          <w:sz w:val="24"/>
          <w:szCs w:val="24"/>
        </w:rPr>
        <w:t xml:space="preserve"> in a FAISS index for efficient nearest-neighbor search.</w:t>
      </w:r>
    </w:p>
    <w:p w14:paraId="6C84B07B" w14:textId="77777777" w:rsidR="00430FA0" w:rsidRPr="00430FA0" w:rsidRDefault="00430FA0" w:rsidP="00430FA0">
      <w:pPr>
        <w:spacing w:before="100" w:beforeAutospacing="1" w:after="100" w:afterAutospacing="1" w:line="240" w:lineRule="auto"/>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Dense retrieval excels in identifying conceptually related clauses, particularly when engineers phrase queries using paraphrased or domain-specific terminology.</w:t>
      </w:r>
      <w:r w:rsidRPr="00430FA0">
        <w:rPr>
          <w:rFonts w:ascii="Times New Roman" w:eastAsia="Times New Roman" w:hAnsi="Times New Roman" w:cs="Times New Roman"/>
          <w:sz w:val="24"/>
          <w:szCs w:val="24"/>
        </w:rPr>
        <w:br/>
        <w:t>For instance, it links “plate thickness” to passages describing “hull-plating dimensions,” even without exact term overlap.</w:t>
      </w:r>
      <w:r w:rsidRPr="00430FA0">
        <w:rPr>
          <w:rFonts w:ascii="Times New Roman" w:eastAsia="Times New Roman" w:hAnsi="Times New Roman" w:cs="Times New Roman"/>
          <w:sz w:val="24"/>
          <w:szCs w:val="24"/>
        </w:rPr>
        <w:br/>
        <w:t xml:space="preserve">Such behavior is consistent with prior research showing that dense retrievers enhance semantic recall in domain-grounded RAG systems </w:t>
      </w:r>
      <w:r>
        <w:rPr>
          <w:rFonts w:ascii="Times New Roman" w:eastAsia="Times New Roman" w:hAnsi="Times New Roman" w:cs="Times New Roman"/>
          <w:sz w:val="24"/>
          <w:szCs w:val="24"/>
        </w:rPr>
        <w:t xml:space="preserve">[27,28]. </w:t>
      </w:r>
      <w:r w:rsidRPr="00430FA0">
        <w:rPr>
          <w:rFonts w:ascii="Times New Roman" w:eastAsia="Times New Roman" w:hAnsi="Times New Roman" w:cs="Times New Roman"/>
          <w:sz w:val="24"/>
          <w:szCs w:val="24"/>
        </w:rPr>
        <w:br/>
        <w:t>Its main limitation lies in reduced sensitivity to symbolic and numeric expressions, which dense embeddings often smooth out.</w:t>
      </w:r>
      <w:r w:rsidRPr="00430FA0">
        <w:rPr>
          <w:rFonts w:ascii="Times New Roman" w:eastAsia="Times New Roman" w:hAnsi="Times New Roman" w:cs="Times New Roman"/>
          <w:sz w:val="24"/>
          <w:szCs w:val="24"/>
        </w:rPr>
        <w:br/>
        <w:t xml:space="preserve">To mitigate this, only the top </w:t>
      </w:r>
      <w:r w:rsidRPr="00430FA0">
        <w:rPr>
          <w:rFonts w:ascii="Times New Roman" w:eastAsia="Times New Roman" w:hAnsi="Times New Roman" w:cs="Times New Roman"/>
          <w:i/>
          <w:iCs/>
          <w:sz w:val="24"/>
          <w:szCs w:val="24"/>
        </w:rPr>
        <w:t>k = 5</w:t>
      </w:r>
      <w:r w:rsidRPr="00430FA0">
        <w:rPr>
          <w:rFonts w:ascii="Times New Roman" w:eastAsia="Times New Roman" w:hAnsi="Times New Roman" w:cs="Times New Roman"/>
          <w:sz w:val="24"/>
          <w:szCs w:val="24"/>
        </w:rPr>
        <w:t xml:space="preserve"> passages were retrieved per query, and prompts were enriched with explicit numeric cues (e.g., </w:t>
      </w:r>
      <w:r w:rsidRPr="00430FA0">
        <w:rPr>
          <w:rFonts w:ascii="Times New Roman" w:eastAsia="Times New Roman" w:hAnsi="Times New Roman" w:cs="Times New Roman"/>
          <w:i/>
          <w:iCs/>
          <w:sz w:val="24"/>
          <w:szCs w:val="24"/>
        </w:rPr>
        <w:t>“include any formulas, numerical values, or limits”</w:t>
      </w:r>
      <w:r w:rsidRPr="00430FA0">
        <w:rPr>
          <w:rFonts w:ascii="Times New Roman" w:eastAsia="Times New Roman" w:hAnsi="Times New Roman" w:cs="Times New Roman"/>
          <w:sz w:val="24"/>
          <w:szCs w:val="24"/>
        </w:rPr>
        <w:t>) to improve quantitative awareness.</w:t>
      </w:r>
    </w:p>
    <w:p w14:paraId="39734051" w14:textId="77777777" w:rsidR="00060A3D" w:rsidRPr="00060A3D" w:rsidRDefault="00060A3D" w:rsidP="00430FA0">
      <w:pPr>
        <w:spacing w:before="100" w:beforeAutospacing="1" w:after="100" w:afterAutospacing="1" w:line="240" w:lineRule="auto"/>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lastRenderedPageBreak/>
        <w:t>.</w:t>
      </w:r>
    </w:p>
    <w:p w14:paraId="15773EC4" w14:textId="77777777" w:rsidR="00060A3D" w:rsidRPr="00060A3D" w:rsidRDefault="00060A3D" w:rsidP="00060A3D">
      <w:pPr>
        <w:spacing w:before="100" w:beforeAutospacing="1" w:after="100" w:afterAutospacing="1" w:line="240" w:lineRule="auto"/>
        <w:outlineLvl w:val="2"/>
        <w:rPr>
          <w:rFonts w:ascii="Times New Roman" w:eastAsia="Times New Roman" w:hAnsi="Times New Roman" w:cs="Times New Roman"/>
          <w:b/>
          <w:bCs/>
          <w:sz w:val="27"/>
          <w:szCs w:val="27"/>
        </w:rPr>
      </w:pPr>
      <w:r w:rsidRPr="00060A3D">
        <w:rPr>
          <w:rFonts w:ascii="Times New Roman" w:eastAsia="Times New Roman" w:hAnsi="Times New Roman" w:cs="Times New Roman"/>
          <w:b/>
          <w:bCs/>
          <w:sz w:val="27"/>
          <w:szCs w:val="27"/>
        </w:rPr>
        <w:t>3.2.2 Sparse Retrieval</w:t>
      </w:r>
    </w:p>
    <w:p w14:paraId="1AAFA8CB" w14:textId="77777777" w:rsidR="00060A3D" w:rsidRPr="00060A3D" w:rsidRDefault="00430FA0" w:rsidP="00430FA0">
      <w:pPr>
        <w:spacing w:before="100" w:beforeAutospacing="1" w:after="100" w:afterAutospacing="1" w:line="240" w:lineRule="auto"/>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In contrast, the sparse retrieval model relies on BM25 lexical matching, which prioritizes exact token alignment.</w:t>
      </w:r>
      <w:r w:rsidRPr="00430FA0">
        <w:rPr>
          <w:rFonts w:ascii="Times New Roman" w:eastAsia="Times New Roman" w:hAnsi="Times New Roman" w:cs="Times New Roman"/>
          <w:sz w:val="24"/>
          <w:szCs w:val="24"/>
        </w:rPr>
        <w:br/>
        <w:t>During preprocessing, tokenization preserved mathematical symbols, engineering units, and rule identifiers to maintain discriminative precision.</w:t>
      </w:r>
      <w:r w:rsidRPr="00430FA0">
        <w:rPr>
          <w:rFonts w:ascii="Times New Roman" w:eastAsia="Times New Roman" w:hAnsi="Times New Roman" w:cs="Times New Roman"/>
          <w:sz w:val="24"/>
          <w:szCs w:val="24"/>
        </w:rPr>
        <w:br/>
        <w:t>This method performs best for queries referencing explicit clauses (e.g., “Rule 3.2.5”) or numeric thresholds (e.g., “t ≥ 5.5 mm”), achieving clause-level fidelity and near-perfect lexical precision.</w:t>
      </w:r>
      <w:r w:rsidRPr="00430FA0">
        <w:rPr>
          <w:rFonts w:ascii="Times New Roman" w:eastAsia="Times New Roman" w:hAnsi="Times New Roman" w:cs="Times New Roman"/>
          <w:sz w:val="24"/>
          <w:szCs w:val="24"/>
        </w:rPr>
        <w:br/>
        <w:t>Such behavior mirrors industrial RAG applications where sparse retrieval ensures reliab</w:t>
      </w:r>
      <w:r w:rsidR="00037765">
        <w:rPr>
          <w:rFonts w:ascii="Times New Roman" w:eastAsia="Times New Roman" w:hAnsi="Times New Roman" w:cs="Times New Roman"/>
          <w:sz w:val="24"/>
          <w:szCs w:val="24"/>
        </w:rPr>
        <w:t xml:space="preserve">ility in rule-based QA systems </w:t>
      </w:r>
      <w:r>
        <w:rPr>
          <w:rFonts w:ascii="Times New Roman" w:eastAsia="Times New Roman" w:hAnsi="Times New Roman" w:cs="Times New Roman"/>
          <w:sz w:val="24"/>
          <w:szCs w:val="24"/>
        </w:rPr>
        <w:t>[29,30]</w:t>
      </w:r>
      <w:r w:rsidRPr="00430FA0">
        <w:rPr>
          <w:rFonts w:ascii="Times New Roman" w:eastAsia="Times New Roman" w:hAnsi="Times New Roman" w:cs="Times New Roman"/>
          <w:sz w:val="24"/>
          <w:szCs w:val="24"/>
        </w:rPr>
        <w:br/>
        <w:t>Its drawback, however, is brittleness: paraphrased or semantically equivalent phrasing may yield no results.</w:t>
      </w:r>
      <w:r w:rsidRPr="00430FA0">
        <w:rPr>
          <w:rFonts w:ascii="Times New Roman" w:eastAsia="Times New Roman" w:hAnsi="Times New Roman" w:cs="Times New Roman"/>
          <w:sz w:val="24"/>
          <w:szCs w:val="24"/>
        </w:rPr>
        <w:br/>
        <w:t xml:space="preserve">Nevertheless, such conservatism is acceptable in safety-critical domains where each retrieved clause must be verifiable </w:t>
      </w:r>
      <w:r>
        <w:rPr>
          <w:rFonts w:ascii="Times New Roman" w:eastAsia="Times New Roman" w:hAnsi="Times New Roman" w:cs="Times New Roman"/>
          <w:sz w:val="24"/>
          <w:szCs w:val="24"/>
        </w:rPr>
        <w:t>against an authoritative source</w:t>
      </w:r>
      <w:r w:rsidR="00060A3D" w:rsidRPr="00060A3D">
        <w:rPr>
          <w:rFonts w:ascii="Times New Roman" w:eastAsia="Times New Roman" w:hAnsi="Times New Roman" w:cs="Times New Roman"/>
          <w:sz w:val="24"/>
          <w:szCs w:val="24"/>
        </w:rPr>
        <w:t>.</w:t>
      </w:r>
    </w:p>
    <w:p w14:paraId="5FEB2113" w14:textId="77777777" w:rsidR="00060A3D" w:rsidRPr="00060A3D" w:rsidRDefault="00060A3D" w:rsidP="00060A3D">
      <w:pPr>
        <w:spacing w:before="100" w:beforeAutospacing="1" w:after="100" w:afterAutospacing="1" w:line="240" w:lineRule="auto"/>
        <w:outlineLvl w:val="2"/>
        <w:rPr>
          <w:rFonts w:ascii="Times New Roman" w:eastAsia="Times New Roman" w:hAnsi="Times New Roman" w:cs="Times New Roman"/>
          <w:b/>
          <w:bCs/>
          <w:sz w:val="27"/>
          <w:szCs w:val="27"/>
        </w:rPr>
      </w:pPr>
      <w:r w:rsidRPr="00060A3D">
        <w:rPr>
          <w:rFonts w:ascii="Times New Roman" w:eastAsia="Times New Roman" w:hAnsi="Times New Roman" w:cs="Times New Roman"/>
          <w:b/>
          <w:bCs/>
          <w:sz w:val="27"/>
          <w:szCs w:val="27"/>
        </w:rPr>
        <w:t>3.2.3 Hybrid Retrieval</w:t>
      </w:r>
    </w:p>
    <w:p w14:paraId="5A60D1FB" w14:textId="77777777" w:rsidR="00037765" w:rsidRPr="00037765" w:rsidRDefault="00037765" w:rsidP="0053192A">
      <w:pPr>
        <w:spacing w:before="100" w:beforeAutospacing="1" w:after="100" w:afterAutospacing="1" w:line="240" w:lineRule="auto"/>
        <w:jc w:val="both"/>
        <w:rPr>
          <w:rFonts w:ascii="Times New Roman" w:eastAsia="Times New Roman" w:hAnsi="Times New Roman" w:cs="Times New Roman"/>
          <w:sz w:val="24"/>
          <w:szCs w:val="24"/>
        </w:rPr>
      </w:pPr>
      <w:r w:rsidRPr="00037765">
        <w:rPr>
          <w:rFonts w:ascii="Times New Roman" w:eastAsia="Times New Roman" w:hAnsi="Times New Roman" w:cs="Times New Roman"/>
          <w:sz w:val="24"/>
          <w:szCs w:val="24"/>
        </w:rPr>
        <w:t>To leverage both semantic and lexical strengths, a hybrid late-fu</w:t>
      </w:r>
      <w:r>
        <w:rPr>
          <w:rFonts w:ascii="Times New Roman" w:eastAsia="Times New Roman" w:hAnsi="Times New Roman" w:cs="Times New Roman"/>
          <w:sz w:val="24"/>
          <w:szCs w:val="24"/>
        </w:rPr>
        <w:t xml:space="preserve">sion retriever was implemented. </w:t>
      </w:r>
      <w:r w:rsidRPr="00037765">
        <w:rPr>
          <w:rFonts w:ascii="Times New Roman" w:eastAsia="Times New Roman" w:hAnsi="Times New Roman" w:cs="Times New Roman"/>
          <w:sz w:val="24"/>
          <w:szCs w:val="24"/>
        </w:rPr>
        <w:t>Each document chunk receives a combined relevance score:</w:t>
      </w:r>
    </w:p>
    <w:p w14:paraId="4F648298" w14:textId="4EAE0E83" w:rsidR="00037765" w:rsidRPr="009726FA" w:rsidRDefault="003C56C6" w:rsidP="0053192A">
      <w:pPr>
        <w:spacing w:after="0" w:line="240" w:lineRule="auto"/>
        <w:jc w:val="both"/>
        <w:rPr>
          <w:rFonts w:ascii="Times New Roman" w:eastAsia="Times New Roman" w:hAnsi="Times New Roman" w:cs="Times New Roman"/>
        </w:rPr>
      </w:pPr>
      <m:oMathPara>
        <m:oMath>
          <m:sSub>
            <m:sSubPr>
              <m:ctrlPr>
                <w:rPr>
                  <w:rFonts w:ascii="Cambria Math" w:eastAsia="Times New Roman" w:hAnsi="Cambria Math" w:cs="Times New Roman"/>
                  <w:i/>
                </w:rPr>
              </m:ctrlPr>
            </m:sSubPr>
            <m:e>
              <m:r>
                <w:rPr>
                  <w:rFonts w:ascii="Cambria Math" w:eastAsia="Times New Roman" w:hAnsi="Cambria Math" w:cs="Times New Roman"/>
                </w:rPr>
                <m:t>S</m:t>
              </m:r>
            </m:e>
            <m:sub>
              <m:r>
                <w:rPr>
                  <w:rFonts w:ascii="Cambria Math" w:eastAsia="Times New Roman" w:hAnsi="Cambria Math" w:cs="Times New Roman"/>
                </w:rPr>
                <m:t>i</m:t>
              </m:r>
            </m:sub>
          </m:sSub>
          <m:r>
            <w:rPr>
              <w:rFonts w:ascii="Cambria Math" w:eastAsia="Times New Roman" w:hAnsi="Cambria Math" w:cs="Times New Roman"/>
            </w:rPr>
            <m:t>=λ</m:t>
          </m:r>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i</m:t>
              </m:r>
            </m:sub>
            <m:sup>
              <m:r>
                <w:rPr>
                  <w:rFonts w:ascii="Cambria Math" w:eastAsia="Times New Roman" w:hAnsi="Cambria Math" w:cs="Times New Roman"/>
                </w:rPr>
                <m:t>BM25</m:t>
              </m:r>
            </m:sup>
          </m:sSubSup>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1-λ</m:t>
              </m:r>
            </m:e>
          </m:d>
          <m:sSubSup>
            <m:sSubSupPr>
              <m:ctrlPr>
                <w:rPr>
                  <w:rFonts w:ascii="Cambria Math" w:eastAsia="Times New Roman" w:hAnsi="Cambria Math" w:cs="Times New Roman"/>
                  <w:i/>
                </w:rPr>
              </m:ctrlPr>
            </m:sSubSupPr>
            <m:e>
              <m:r>
                <w:rPr>
                  <w:rFonts w:ascii="Cambria Math" w:eastAsia="Times New Roman" w:hAnsi="Cambria Math" w:cs="Times New Roman"/>
                </w:rPr>
                <m:t>S</m:t>
              </m:r>
            </m:e>
            <m:sub>
              <m:r>
                <w:rPr>
                  <w:rFonts w:ascii="Cambria Math" w:eastAsia="Times New Roman" w:hAnsi="Cambria Math" w:cs="Times New Roman"/>
                </w:rPr>
                <m:t>i</m:t>
              </m:r>
            </m:sub>
            <m:sup>
              <m:r>
                <w:rPr>
                  <w:rFonts w:ascii="Cambria Math" w:eastAsia="Times New Roman" w:hAnsi="Cambria Math" w:cs="Times New Roman"/>
                </w:rPr>
                <m:t>dense</m:t>
              </m:r>
            </m:sup>
          </m:sSubSup>
          <m:r>
            <w:rPr>
              <w:rFonts w:ascii="Cambria Math" w:eastAsia="Times New Roman" w:hAnsi="Cambria Math" w:cs="Times New Roman"/>
            </w:rPr>
            <m:t>​</m:t>
          </m:r>
        </m:oMath>
      </m:oMathPara>
    </w:p>
    <w:p w14:paraId="5DF2D716" w14:textId="77777777" w:rsidR="00037765" w:rsidRPr="00037765" w:rsidRDefault="00037765" w:rsidP="0053192A">
      <w:pPr>
        <w:spacing w:before="100" w:beforeAutospacing="1" w:after="100" w:afterAutospacing="1" w:line="240" w:lineRule="auto"/>
        <w:jc w:val="both"/>
        <w:rPr>
          <w:rFonts w:ascii="Times New Roman" w:eastAsia="Times New Roman" w:hAnsi="Times New Roman" w:cs="Times New Roman"/>
          <w:sz w:val="24"/>
          <w:szCs w:val="24"/>
        </w:rPr>
      </w:pPr>
      <w:r w:rsidRPr="00037765">
        <w:rPr>
          <w:rFonts w:ascii="Times New Roman" w:eastAsia="Times New Roman" w:hAnsi="Times New Roman" w:cs="Times New Roman"/>
          <w:sz w:val="24"/>
          <w:szCs w:val="24"/>
        </w:rPr>
        <w:t>where λ\</w:t>
      </w:r>
      <w:proofErr w:type="spellStart"/>
      <w:r w:rsidRPr="00037765">
        <w:rPr>
          <w:rFonts w:ascii="Times New Roman" w:eastAsia="Times New Roman" w:hAnsi="Times New Roman" w:cs="Times New Roman"/>
          <w:sz w:val="24"/>
          <w:szCs w:val="24"/>
        </w:rPr>
        <w:t>lambdaλ</w:t>
      </w:r>
      <w:proofErr w:type="spellEnd"/>
      <w:r w:rsidRPr="00037765">
        <w:rPr>
          <w:rFonts w:ascii="Times New Roman" w:eastAsia="Times New Roman" w:hAnsi="Times New Roman" w:cs="Times New Roman"/>
          <w:sz w:val="24"/>
          <w:szCs w:val="24"/>
        </w:rPr>
        <w:t xml:space="preserve"> balances the contributions of lexical and semantic evidence.</w:t>
      </w:r>
      <w:r w:rsidRPr="00037765">
        <w:rPr>
          <w:rFonts w:ascii="Times New Roman" w:eastAsia="Times New Roman" w:hAnsi="Times New Roman" w:cs="Times New Roman"/>
          <w:sz w:val="24"/>
          <w:szCs w:val="24"/>
        </w:rPr>
        <w:br/>
        <w:t>A sparse-dominant weighting (λ≈0.65\lambda ≈ 0.65λ≈0.65) was empirically determined to favor numeric and symbolic fidelity while retaining semantic coverage.</w:t>
      </w:r>
      <w:r w:rsidRPr="00037765">
        <w:rPr>
          <w:rFonts w:ascii="Times New Roman" w:eastAsia="Times New Roman" w:hAnsi="Times New Roman" w:cs="Times New Roman"/>
          <w:sz w:val="24"/>
          <w:szCs w:val="24"/>
        </w:rPr>
        <w:br/>
        <w:t>Hybrid retrieval consistently achieved the best trade-off between recall and precision, corroborating the findings of recent studies that highlight late-fusion methods as the most robust approach for heterogeneous engineering documents</w:t>
      </w:r>
      <w:r>
        <w:rPr>
          <w:rFonts w:ascii="Times New Roman" w:eastAsia="Times New Roman" w:hAnsi="Times New Roman" w:cs="Times New Roman"/>
          <w:sz w:val="24"/>
          <w:szCs w:val="24"/>
        </w:rPr>
        <w:t xml:space="preserve"> [31,32]</w:t>
      </w:r>
      <w:r w:rsidRPr="00037765">
        <w:rPr>
          <w:rFonts w:ascii="Times New Roman" w:eastAsia="Times New Roman" w:hAnsi="Times New Roman" w:cs="Times New Roman"/>
          <w:sz w:val="24"/>
          <w:szCs w:val="24"/>
        </w:rPr>
        <w:t>.</w:t>
      </w:r>
    </w:p>
    <w:p w14:paraId="483246FA" w14:textId="77777777" w:rsidR="00060A3D" w:rsidRPr="00060A3D" w:rsidRDefault="00060A3D" w:rsidP="00060A3D">
      <w:pPr>
        <w:spacing w:before="100" w:beforeAutospacing="1" w:after="100" w:afterAutospacing="1" w:line="240" w:lineRule="auto"/>
        <w:jc w:val="both"/>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w:t>
      </w:r>
    </w:p>
    <w:p w14:paraId="4BD9B272" w14:textId="77777777" w:rsidR="00060A3D" w:rsidRPr="00060A3D" w:rsidRDefault="00060A3D" w:rsidP="00060A3D">
      <w:pPr>
        <w:spacing w:before="100" w:beforeAutospacing="1" w:after="100" w:afterAutospacing="1" w:line="240" w:lineRule="auto"/>
        <w:outlineLvl w:val="2"/>
        <w:rPr>
          <w:rFonts w:ascii="Times New Roman" w:eastAsia="Times New Roman" w:hAnsi="Times New Roman" w:cs="Times New Roman"/>
          <w:b/>
          <w:bCs/>
          <w:sz w:val="27"/>
          <w:szCs w:val="27"/>
        </w:rPr>
      </w:pPr>
      <w:r w:rsidRPr="00060A3D">
        <w:rPr>
          <w:rFonts w:ascii="Times New Roman" w:eastAsia="Times New Roman" w:hAnsi="Times New Roman" w:cs="Times New Roman"/>
          <w:b/>
          <w:bCs/>
          <w:sz w:val="27"/>
          <w:szCs w:val="27"/>
        </w:rPr>
        <w:t>3.2.4 Hybrid-Rank Retrieval</w:t>
      </w:r>
    </w:p>
    <w:p w14:paraId="799FA025" w14:textId="77777777" w:rsidR="00060A3D" w:rsidRPr="00060A3D" w:rsidRDefault="00060A3D" w:rsidP="00A07D70">
      <w:pPr>
        <w:spacing w:beforeAutospacing="1" w:after="100" w:afterAutospacing="1" w:line="240" w:lineRule="auto"/>
        <w:jc w:val="both"/>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 xml:space="preserve">To further enhance top-rank accuracy, a </w:t>
      </w:r>
      <w:r w:rsidRPr="00060A3D">
        <w:rPr>
          <w:rFonts w:ascii="Times New Roman" w:eastAsia="Times New Roman" w:hAnsi="Times New Roman" w:cs="Times New Roman"/>
          <w:b/>
          <w:bCs/>
          <w:sz w:val="24"/>
          <w:szCs w:val="24"/>
        </w:rPr>
        <w:t>hybrid-rank retriever</w:t>
      </w:r>
      <w:r w:rsidRPr="00060A3D">
        <w:rPr>
          <w:rFonts w:ascii="Times New Roman" w:eastAsia="Times New Roman" w:hAnsi="Times New Roman" w:cs="Times New Roman"/>
          <w:sz w:val="24"/>
          <w:szCs w:val="24"/>
        </w:rPr>
        <w:t xml:space="preserve"> integrates the hybrid fusion with a final </w:t>
      </w:r>
      <w:r w:rsidRPr="00060A3D">
        <w:rPr>
          <w:rFonts w:ascii="Times New Roman" w:eastAsia="Times New Roman" w:hAnsi="Times New Roman" w:cs="Times New Roman"/>
          <w:b/>
          <w:bCs/>
          <w:sz w:val="24"/>
          <w:szCs w:val="24"/>
        </w:rPr>
        <w:t>cross-encoder re-ranking</w:t>
      </w:r>
      <w:r w:rsidRPr="00060A3D">
        <w:rPr>
          <w:rFonts w:ascii="Times New Roman" w:eastAsia="Times New Roman" w:hAnsi="Times New Roman" w:cs="Times New Roman"/>
          <w:sz w:val="24"/>
          <w:szCs w:val="24"/>
        </w:rPr>
        <w:t xml:space="preserve"> stage. The cross-encoder jointly encodes each query–chunk pair using the </w:t>
      </w:r>
      <w:r w:rsidRPr="00060A3D">
        <w:rPr>
          <w:rFonts w:ascii="Times New Roman" w:eastAsia="Times New Roman" w:hAnsi="Times New Roman" w:cs="Times New Roman"/>
          <w:b/>
          <w:bCs/>
          <w:sz w:val="24"/>
          <w:szCs w:val="24"/>
        </w:rPr>
        <w:t>MS MARCO ELECTRA-base</w:t>
      </w:r>
      <w:r w:rsidRPr="00060A3D">
        <w:rPr>
          <w:rFonts w:ascii="Times New Roman" w:eastAsia="Times New Roman" w:hAnsi="Times New Roman" w:cs="Times New Roman"/>
          <w:sz w:val="24"/>
          <w:szCs w:val="24"/>
        </w:rPr>
        <w:t xml:space="preserve"> model to compute fine-grained </w:t>
      </w:r>
      <w:r w:rsidR="00FB51E7">
        <w:rPr>
          <w:rFonts w:ascii="Times New Roman" w:eastAsia="Times New Roman" w:hAnsi="Times New Roman" w:cs="Times New Roman"/>
          <w:sz w:val="24"/>
          <w:szCs w:val="24"/>
        </w:rPr>
        <w:t>contextual relevance scores</w:t>
      </w:r>
      <w:r w:rsidRPr="00060A3D">
        <w:rPr>
          <w:rFonts w:ascii="Times New Roman" w:eastAsia="Times New Roman" w:hAnsi="Times New Roman" w:cs="Times New Roman"/>
          <w:sz w:val="24"/>
          <w:szCs w:val="24"/>
        </w:rPr>
        <w:t>.</w:t>
      </w:r>
    </w:p>
    <w:p w14:paraId="7BCF9862" w14:textId="77777777" w:rsidR="00060A3D" w:rsidRPr="00060A3D" w:rsidRDefault="00060A3D" w:rsidP="00060A3D">
      <w:pPr>
        <w:spacing w:before="100" w:beforeAutospacing="1" w:after="100" w:afterAutospacing="1" w:line="240" w:lineRule="auto"/>
        <w:jc w:val="both"/>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 xml:space="preserve">In this setup, the hybrid retriever first produces a shortlist (e.g., top 20 results), which are then re-scored by the cross-encoder. The final output includes the </w:t>
      </w:r>
      <w:proofErr w:type="gramStart"/>
      <w:r w:rsidRPr="00060A3D">
        <w:rPr>
          <w:rFonts w:ascii="Times New Roman" w:eastAsia="Times New Roman" w:hAnsi="Times New Roman" w:cs="Times New Roman"/>
          <w:sz w:val="24"/>
          <w:szCs w:val="24"/>
        </w:rPr>
        <w:t>top-10</w:t>
      </w:r>
      <w:proofErr w:type="gramEnd"/>
      <w:r w:rsidRPr="00060A3D">
        <w:rPr>
          <w:rFonts w:ascii="Times New Roman" w:eastAsia="Times New Roman" w:hAnsi="Times New Roman" w:cs="Times New Roman"/>
          <w:sz w:val="24"/>
          <w:szCs w:val="24"/>
        </w:rPr>
        <w:t xml:space="preserve"> evidence chunks for RAG-Explain visualization and the top-</w:t>
      </w:r>
      <w:r w:rsidRPr="00060A3D">
        <w:rPr>
          <w:rFonts w:ascii="Times New Roman" w:eastAsia="Times New Roman" w:hAnsi="Times New Roman" w:cs="Times New Roman"/>
          <w:i/>
          <w:iCs/>
          <w:sz w:val="24"/>
          <w:szCs w:val="24"/>
        </w:rPr>
        <w:t>k</w:t>
      </w:r>
      <w:r w:rsidRPr="00060A3D">
        <w:rPr>
          <w:rFonts w:ascii="Times New Roman" w:eastAsia="Times New Roman" w:hAnsi="Times New Roman" w:cs="Times New Roman"/>
          <w:sz w:val="24"/>
          <w:szCs w:val="24"/>
        </w:rPr>
        <w:t xml:space="preserve"> = 5 passages for generation. Although this approach increases latency, it yields the highest factual correctness and eliminates near-duplicate or ambiguous results—an acceptable trade-off for safety-critical maritime applications.</w:t>
      </w:r>
    </w:p>
    <w:p w14:paraId="6615EBFF" w14:textId="77777777" w:rsidR="00060A3D" w:rsidRPr="00060A3D" w:rsidRDefault="00060A3D" w:rsidP="00060A3D">
      <w:pPr>
        <w:spacing w:after="0" w:line="240" w:lineRule="auto"/>
        <w:rPr>
          <w:rFonts w:ascii="Times New Roman" w:eastAsia="Times New Roman" w:hAnsi="Times New Roman" w:cs="Times New Roman"/>
          <w:sz w:val="24"/>
          <w:szCs w:val="24"/>
        </w:rPr>
      </w:pPr>
    </w:p>
    <w:p w14:paraId="720B9456" w14:textId="77777777" w:rsidR="00060A3D" w:rsidRPr="00060A3D" w:rsidRDefault="00060A3D" w:rsidP="00060A3D">
      <w:pPr>
        <w:spacing w:before="100" w:beforeAutospacing="1" w:after="100" w:afterAutospacing="1" w:line="240" w:lineRule="auto"/>
        <w:jc w:val="center"/>
        <w:rPr>
          <w:rFonts w:ascii="Times New Roman" w:eastAsia="Times New Roman" w:hAnsi="Times New Roman" w:cs="Times New Roman"/>
          <w:sz w:val="24"/>
          <w:szCs w:val="24"/>
        </w:rPr>
      </w:pPr>
      <w:r w:rsidRPr="00060A3D">
        <w:rPr>
          <w:rFonts w:ascii="Times New Roman" w:eastAsia="Times New Roman" w:hAnsi="Times New Roman" w:cs="Times New Roman"/>
          <w:b/>
          <w:bCs/>
          <w:sz w:val="24"/>
          <w:szCs w:val="24"/>
        </w:rPr>
        <w:lastRenderedPageBreak/>
        <w:t>Table 2.</w:t>
      </w:r>
      <w:r w:rsidRPr="00060A3D">
        <w:rPr>
          <w:rFonts w:ascii="Times New Roman" w:eastAsia="Times New Roman" w:hAnsi="Times New Roman" w:cs="Times New Roman"/>
          <w:sz w:val="24"/>
          <w:szCs w:val="24"/>
        </w:rPr>
        <w:t xml:space="preserve"> </w:t>
      </w:r>
      <w:r w:rsidRPr="00060A3D">
        <w:rPr>
          <w:rFonts w:ascii="Times New Roman" w:eastAsia="Times New Roman" w:hAnsi="Times New Roman" w:cs="Times New Roman"/>
          <w:i/>
          <w:iCs/>
          <w:sz w:val="24"/>
          <w:szCs w:val="24"/>
        </w:rPr>
        <w:t>Retrieval configurations and parameter settings.</w:t>
      </w:r>
    </w:p>
    <w:tbl>
      <w:tblPr>
        <w:tblStyle w:val="TableGrid"/>
        <w:tblW w:w="0" w:type="auto"/>
        <w:tblLook w:val="04A0" w:firstRow="1" w:lastRow="0" w:firstColumn="1" w:lastColumn="0" w:noHBand="0" w:noVBand="1"/>
      </w:tblPr>
      <w:tblGrid>
        <w:gridCol w:w="1480"/>
        <w:gridCol w:w="2095"/>
        <w:gridCol w:w="2180"/>
        <w:gridCol w:w="1515"/>
        <w:gridCol w:w="1746"/>
      </w:tblGrid>
      <w:tr w:rsidR="00060A3D" w:rsidRPr="00060A3D" w14:paraId="550BE5C3" w14:textId="77777777" w:rsidTr="00060A3D">
        <w:tc>
          <w:tcPr>
            <w:tcW w:w="0" w:type="auto"/>
            <w:hideMark/>
          </w:tcPr>
          <w:p w14:paraId="4146AD5D"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Retrieval Type</w:t>
            </w:r>
          </w:p>
        </w:tc>
        <w:tc>
          <w:tcPr>
            <w:tcW w:w="0" w:type="auto"/>
            <w:hideMark/>
          </w:tcPr>
          <w:p w14:paraId="4F75A805"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Components Used</w:t>
            </w:r>
          </w:p>
        </w:tc>
        <w:tc>
          <w:tcPr>
            <w:tcW w:w="0" w:type="auto"/>
            <w:hideMark/>
          </w:tcPr>
          <w:p w14:paraId="6FBB9C7C"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Fusion / Re-ranking Method</w:t>
            </w:r>
          </w:p>
        </w:tc>
        <w:tc>
          <w:tcPr>
            <w:tcW w:w="0" w:type="auto"/>
            <w:hideMark/>
          </w:tcPr>
          <w:p w14:paraId="0B6F24A1"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Weight (λ)</w:t>
            </w:r>
          </w:p>
        </w:tc>
        <w:tc>
          <w:tcPr>
            <w:tcW w:w="0" w:type="auto"/>
            <w:hideMark/>
          </w:tcPr>
          <w:p w14:paraId="41DCF766"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Top-</w:t>
            </w:r>
            <w:r w:rsidRPr="00060A3D">
              <w:rPr>
                <w:rFonts w:ascii="Times New Roman" w:eastAsia="Times New Roman" w:hAnsi="Times New Roman" w:cs="Times New Roman"/>
                <w:b/>
                <w:bCs/>
                <w:i/>
                <w:iCs/>
                <w:sz w:val="24"/>
                <w:szCs w:val="24"/>
              </w:rPr>
              <w:t>k</w:t>
            </w:r>
            <w:r w:rsidRPr="00060A3D">
              <w:rPr>
                <w:rFonts w:ascii="Times New Roman" w:eastAsia="Times New Roman" w:hAnsi="Times New Roman" w:cs="Times New Roman"/>
                <w:b/>
                <w:bCs/>
                <w:sz w:val="24"/>
                <w:szCs w:val="24"/>
              </w:rPr>
              <w:t xml:space="preserve"> Candidates</w:t>
            </w:r>
          </w:p>
        </w:tc>
      </w:tr>
      <w:tr w:rsidR="00060A3D" w:rsidRPr="00060A3D" w14:paraId="5DC193D3" w14:textId="77777777" w:rsidTr="00060A3D">
        <w:tc>
          <w:tcPr>
            <w:tcW w:w="0" w:type="auto"/>
            <w:hideMark/>
          </w:tcPr>
          <w:p w14:paraId="447A3E49"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Dense</w:t>
            </w:r>
          </w:p>
        </w:tc>
        <w:tc>
          <w:tcPr>
            <w:tcW w:w="0" w:type="auto"/>
            <w:hideMark/>
          </w:tcPr>
          <w:p w14:paraId="20B44532"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text-embedding-3-large</w:t>
            </w:r>
          </w:p>
        </w:tc>
        <w:tc>
          <w:tcPr>
            <w:tcW w:w="0" w:type="auto"/>
            <w:hideMark/>
          </w:tcPr>
          <w:p w14:paraId="3ECF5E5D"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w:t>
            </w:r>
          </w:p>
        </w:tc>
        <w:tc>
          <w:tcPr>
            <w:tcW w:w="0" w:type="auto"/>
            <w:hideMark/>
          </w:tcPr>
          <w:p w14:paraId="3463EF67"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w:t>
            </w:r>
          </w:p>
        </w:tc>
        <w:tc>
          <w:tcPr>
            <w:tcW w:w="0" w:type="auto"/>
            <w:hideMark/>
          </w:tcPr>
          <w:p w14:paraId="78E3FF2F"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10</w:t>
            </w:r>
          </w:p>
        </w:tc>
      </w:tr>
      <w:tr w:rsidR="00060A3D" w:rsidRPr="00060A3D" w14:paraId="29694C78" w14:textId="77777777" w:rsidTr="00060A3D">
        <w:tc>
          <w:tcPr>
            <w:tcW w:w="0" w:type="auto"/>
            <w:hideMark/>
          </w:tcPr>
          <w:p w14:paraId="6650F944"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Sparse</w:t>
            </w:r>
          </w:p>
        </w:tc>
        <w:tc>
          <w:tcPr>
            <w:tcW w:w="0" w:type="auto"/>
            <w:hideMark/>
          </w:tcPr>
          <w:p w14:paraId="4B7789F5"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BM25 (lexical)</w:t>
            </w:r>
          </w:p>
        </w:tc>
        <w:tc>
          <w:tcPr>
            <w:tcW w:w="0" w:type="auto"/>
            <w:hideMark/>
          </w:tcPr>
          <w:p w14:paraId="43F4573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w:t>
            </w:r>
          </w:p>
        </w:tc>
        <w:tc>
          <w:tcPr>
            <w:tcW w:w="0" w:type="auto"/>
            <w:hideMark/>
          </w:tcPr>
          <w:p w14:paraId="0FC1CED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w:t>
            </w:r>
          </w:p>
        </w:tc>
        <w:tc>
          <w:tcPr>
            <w:tcW w:w="0" w:type="auto"/>
            <w:hideMark/>
          </w:tcPr>
          <w:p w14:paraId="1927DD8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10</w:t>
            </w:r>
          </w:p>
        </w:tc>
      </w:tr>
      <w:tr w:rsidR="00060A3D" w:rsidRPr="00060A3D" w14:paraId="0D674999" w14:textId="77777777" w:rsidTr="00060A3D">
        <w:tc>
          <w:tcPr>
            <w:tcW w:w="0" w:type="auto"/>
            <w:hideMark/>
          </w:tcPr>
          <w:p w14:paraId="47A770AF"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Hybrid</w:t>
            </w:r>
          </w:p>
        </w:tc>
        <w:tc>
          <w:tcPr>
            <w:tcW w:w="0" w:type="auto"/>
            <w:hideMark/>
          </w:tcPr>
          <w:p w14:paraId="7D9AC249"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Dense + Sparse</w:t>
            </w:r>
          </w:p>
        </w:tc>
        <w:tc>
          <w:tcPr>
            <w:tcW w:w="0" w:type="auto"/>
            <w:hideMark/>
          </w:tcPr>
          <w:p w14:paraId="351C6D1F"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Late Fusion (score-level)</w:t>
            </w:r>
          </w:p>
        </w:tc>
        <w:tc>
          <w:tcPr>
            <w:tcW w:w="0" w:type="auto"/>
            <w:hideMark/>
          </w:tcPr>
          <w:p w14:paraId="1E9308D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0.65</w:t>
            </w:r>
          </w:p>
        </w:tc>
        <w:tc>
          <w:tcPr>
            <w:tcW w:w="0" w:type="auto"/>
            <w:hideMark/>
          </w:tcPr>
          <w:p w14:paraId="09C6098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10</w:t>
            </w:r>
          </w:p>
        </w:tc>
      </w:tr>
      <w:tr w:rsidR="00060A3D" w:rsidRPr="00060A3D" w14:paraId="3E7571AC" w14:textId="77777777" w:rsidTr="00060A3D">
        <w:tc>
          <w:tcPr>
            <w:tcW w:w="0" w:type="auto"/>
            <w:hideMark/>
          </w:tcPr>
          <w:p w14:paraId="4E7F1ABE"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Hybrid-Rank</w:t>
            </w:r>
          </w:p>
        </w:tc>
        <w:tc>
          <w:tcPr>
            <w:tcW w:w="0" w:type="auto"/>
            <w:hideMark/>
          </w:tcPr>
          <w:p w14:paraId="7D31D2A5"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Hybrid + Cross-Encoder</w:t>
            </w:r>
          </w:p>
        </w:tc>
        <w:tc>
          <w:tcPr>
            <w:tcW w:w="0" w:type="auto"/>
            <w:hideMark/>
          </w:tcPr>
          <w:p w14:paraId="7B6B0C28"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Late Fusion + Re-ranking</w:t>
            </w:r>
          </w:p>
        </w:tc>
        <w:tc>
          <w:tcPr>
            <w:tcW w:w="0" w:type="auto"/>
            <w:hideMark/>
          </w:tcPr>
          <w:p w14:paraId="54BE636D"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0.65 + cross-score</w:t>
            </w:r>
          </w:p>
        </w:tc>
        <w:tc>
          <w:tcPr>
            <w:tcW w:w="0" w:type="auto"/>
            <w:hideMark/>
          </w:tcPr>
          <w:p w14:paraId="26F9210B"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10</w:t>
            </w:r>
          </w:p>
        </w:tc>
      </w:tr>
    </w:tbl>
    <w:p w14:paraId="3A96A2AF" w14:textId="77777777" w:rsidR="00060A3D" w:rsidRPr="00060A3D" w:rsidRDefault="00060A3D" w:rsidP="00060A3D">
      <w:pPr>
        <w:spacing w:after="0" w:line="240" w:lineRule="auto"/>
        <w:rPr>
          <w:rFonts w:ascii="Times New Roman" w:eastAsia="Times New Roman" w:hAnsi="Times New Roman" w:cs="Times New Roman"/>
          <w:sz w:val="24"/>
          <w:szCs w:val="24"/>
        </w:rPr>
      </w:pPr>
    </w:p>
    <w:p w14:paraId="3FEBED30" w14:textId="77777777" w:rsidR="00060A3D" w:rsidRPr="00060A3D" w:rsidRDefault="00060A3D" w:rsidP="00060A3D">
      <w:pPr>
        <w:spacing w:before="100" w:beforeAutospacing="1" w:after="100" w:afterAutospacing="1" w:line="240" w:lineRule="auto"/>
        <w:outlineLvl w:val="2"/>
        <w:rPr>
          <w:rFonts w:ascii="Times New Roman" w:eastAsia="Times New Roman" w:hAnsi="Times New Roman" w:cs="Times New Roman"/>
          <w:b/>
          <w:bCs/>
          <w:sz w:val="27"/>
          <w:szCs w:val="27"/>
        </w:rPr>
      </w:pPr>
      <w:r w:rsidRPr="00060A3D">
        <w:rPr>
          <w:rFonts w:ascii="Times New Roman" w:eastAsia="Times New Roman" w:hAnsi="Times New Roman" w:cs="Times New Roman"/>
          <w:b/>
          <w:bCs/>
          <w:sz w:val="27"/>
          <w:szCs w:val="27"/>
        </w:rPr>
        <w:t>3.2.5 Accuracy-Oriented Design Principles</w:t>
      </w:r>
    </w:p>
    <w:p w14:paraId="58F72D91" w14:textId="77777777" w:rsidR="00060A3D" w:rsidRPr="00060A3D" w:rsidRDefault="00060A3D" w:rsidP="00A2515B">
      <w:pPr>
        <w:spacing w:beforeAutospacing="1" w:after="100" w:afterAutospacing="1" w:line="240" w:lineRule="auto"/>
        <w:jc w:val="both"/>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 xml:space="preserve">Across all retrieval modes, several accuracy-first design principles were applied. The pipeline always exposes the </w:t>
      </w:r>
      <w:proofErr w:type="gramStart"/>
      <w:r w:rsidRPr="00060A3D">
        <w:rPr>
          <w:rFonts w:ascii="Times New Roman" w:eastAsia="Times New Roman" w:hAnsi="Times New Roman" w:cs="Times New Roman"/>
          <w:b/>
          <w:bCs/>
          <w:sz w:val="24"/>
          <w:szCs w:val="24"/>
        </w:rPr>
        <w:t>top-10</w:t>
      </w:r>
      <w:proofErr w:type="gramEnd"/>
      <w:r w:rsidRPr="00060A3D">
        <w:rPr>
          <w:rFonts w:ascii="Times New Roman" w:eastAsia="Times New Roman" w:hAnsi="Times New Roman" w:cs="Times New Roman"/>
          <w:b/>
          <w:bCs/>
          <w:sz w:val="24"/>
          <w:szCs w:val="24"/>
        </w:rPr>
        <w:t xml:space="preserve"> evidence passages</w:t>
      </w:r>
      <w:r w:rsidRPr="00060A3D">
        <w:rPr>
          <w:rFonts w:ascii="Times New Roman" w:eastAsia="Times New Roman" w:hAnsi="Times New Roman" w:cs="Times New Roman"/>
          <w:sz w:val="24"/>
          <w:szCs w:val="24"/>
        </w:rPr>
        <w:t xml:space="preserve"> with page and section metadata for full auditability via the </w:t>
      </w:r>
      <w:r w:rsidRPr="00060A3D">
        <w:rPr>
          <w:rFonts w:ascii="Times New Roman" w:eastAsia="Times New Roman" w:hAnsi="Times New Roman" w:cs="Times New Roman"/>
          <w:b/>
          <w:bCs/>
          <w:sz w:val="24"/>
          <w:szCs w:val="24"/>
        </w:rPr>
        <w:t>RAG-Explain</w:t>
      </w:r>
      <w:r w:rsidRPr="00060A3D">
        <w:rPr>
          <w:rFonts w:ascii="Times New Roman" w:eastAsia="Times New Roman" w:hAnsi="Times New Roman" w:cs="Times New Roman"/>
          <w:sz w:val="24"/>
          <w:szCs w:val="24"/>
        </w:rPr>
        <w:t xml:space="preserve"> module. The generation context window remains deliberately narrow to prevent noise accumulation, and numeric expressions and units are strictly preserved during preprocessing to maintain engineering integrity.</w:t>
      </w:r>
      <w:r w:rsidR="00A2515B">
        <w:rPr>
          <w:rFonts w:ascii="Times New Roman" w:eastAsia="Times New Roman" w:hAnsi="Times New Roman" w:cs="Times New Roman"/>
          <w:sz w:val="24"/>
          <w:szCs w:val="24"/>
        </w:rPr>
        <w:t xml:space="preserve"> </w:t>
      </w:r>
      <w:r w:rsidRPr="00060A3D">
        <w:rPr>
          <w:rFonts w:ascii="Times New Roman" w:eastAsia="Times New Roman" w:hAnsi="Times New Roman" w:cs="Times New Roman"/>
          <w:sz w:val="24"/>
          <w:szCs w:val="24"/>
        </w:rPr>
        <w:t xml:space="preserve">When confidence scores fall below a defined threshold—such as for underspecified or ambiguous </w:t>
      </w:r>
      <w:proofErr w:type="gramStart"/>
      <w:r w:rsidRPr="00060A3D">
        <w:rPr>
          <w:rFonts w:ascii="Times New Roman" w:eastAsia="Times New Roman" w:hAnsi="Times New Roman" w:cs="Times New Roman"/>
          <w:sz w:val="24"/>
          <w:szCs w:val="24"/>
        </w:rPr>
        <w:t>queries—</w:t>
      </w:r>
      <w:proofErr w:type="gramEnd"/>
      <w:r w:rsidRPr="00060A3D">
        <w:rPr>
          <w:rFonts w:ascii="Times New Roman" w:eastAsia="Times New Roman" w:hAnsi="Times New Roman" w:cs="Times New Roman"/>
          <w:sz w:val="24"/>
          <w:szCs w:val="24"/>
        </w:rPr>
        <w:t>the system abstains from generating an answer, prioritizing precision and verifiability over speculative completion.</w:t>
      </w:r>
    </w:p>
    <w:p w14:paraId="1D9BF96E" w14:textId="77777777" w:rsidR="00060A3D" w:rsidRPr="00060A3D" w:rsidRDefault="00060A3D" w:rsidP="00060A3D">
      <w:pPr>
        <w:spacing w:before="100" w:beforeAutospacing="1" w:after="100" w:afterAutospacing="1" w:line="240" w:lineRule="auto"/>
        <w:jc w:val="center"/>
        <w:rPr>
          <w:rFonts w:ascii="Times New Roman" w:eastAsia="Times New Roman" w:hAnsi="Times New Roman" w:cs="Times New Roman"/>
          <w:sz w:val="24"/>
          <w:szCs w:val="24"/>
        </w:rPr>
      </w:pPr>
      <w:r w:rsidRPr="00060A3D">
        <w:rPr>
          <w:rFonts w:ascii="Times New Roman" w:eastAsia="Times New Roman" w:hAnsi="Times New Roman" w:cs="Times New Roman"/>
          <w:b/>
          <w:bCs/>
          <w:sz w:val="24"/>
          <w:szCs w:val="24"/>
        </w:rPr>
        <w:t>Table 3.</w:t>
      </w:r>
      <w:r w:rsidRPr="00060A3D">
        <w:rPr>
          <w:rFonts w:ascii="Times New Roman" w:eastAsia="Times New Roman" w:hAnsi="Times New Roman" w:cs="Times New Roman"/>
          <w:sz w:val="24"/>
          <w:szCs w:val="24"/>
        </w:rPr>
        <w:t xml:space="preserve"> </w:t>
      </w:r>
      <w:r w:rsidRPr="00060A3D">
        <w:rPr>
          <w:rFonts w:ascii="Times New Roman" w:eastAsia="Times New Roman" w:hAnsi="Times New Roman" w:cs="Times New Roman"/>
          <w:i/>
          <w:iCs/>
          <w:sz w:val="24"/>
          <w:szCs w:val="24"/>
        </w:rPr>
        <w:t>Comparative analysis of retrieval models.</w:t>
      </w:r>
    </w:p>
    <w:tbl>
      <w:tblPr>
        <w:tblStyle w:val="TableGrid"/>
        <w:tblW w:w="0" w:type="auto"/>
        <w:tblLook w:val="04A0" w:firstRow="1" w:lastRow="0" w:firstColumn="1" w:lastColumn="0" w:noHBand="0" w:noVBand="1"/>
      </w:tblPr>
      <w:tblGrid>
        <w:gridCol w:w="1398"/>
        <w:gridCol w:w="3067"/>
        <w:gridCol w:w="2375"/>
        <w:gridCol w:w="2176"/>
      </w:tblGrid>
      <w:tr w:rsidR="00060A3D" w:rsidRPr="00060A3D" w14:paraId="34623634" w14:textId="77777777" w:rsidTr="00060A3D">
        <w:tc>
          <w:tcPr>
            <w:tcW w:w="0" w:type="auto"/>
            <w:hideMark/>
          </w:tcPr>
          <w:p w14:paraId="03BCBE11"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Retrieval Model</w:t>
            </w:r>
          </w:p>
        </w:tc>
        <w:tc>
          <w:tcPr>
            <w:tcW w:w="0" w:type="auto"/>
            <w:hideMark/>
          </w:tcPr>
          <w:p w14:paraId="7AD44220"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Main Strengths</w:t>
            </w:r>
          </w:p>
        </w:tc>
        <w:tc>
          <w:tcPr>
            <w:tcW w:w="0" w:type="auto"/>
            <w:hideMark/>
          </w:tcPr>
          <w:p w14:paraId="3BF9CF6B"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Limitations</w:t>
            </w:r>
          </w:p>
        </w:tc>
        <w:tc>
          <w:tcPr>
            <w:tcW w:w="0" w:type="auto"/>
            <w:hideMark/>
          </w:tcPr>
          <w:p w14:paraId="79971735" w14:textId="77777777" w:rsidR="00060A3D" w:rsidRPr="00060A3D" w:rsidRDefault="00060A3D" w:rsidP="00060A3D">
            <w:pPr>
              <w:jc w:val="center"/>
              <w:rPr>
                <w:rFonts w:ascii="Times New Roman" w:eastAsia="Times New Roman" w:hAnsi="Times New Roman" w:cs="Times New Roman"/>
                <w:b/>
                <w:bCs/>
                <w:sz w:val="24"/>
                <w:szCs w:val="24"/>
              </w:rPr>
            </w:pPr>
            <w:r w:rsidRPr="00060A3D">
              <w:rPr>
                <w:rFonts w:ascii="Times New Roman" w:eastAsia="Times New Roman" w:hAnsi="Times New Roman" w:cs="Times New Roman"/>
                <w:b/>
                <w:bCs/>
                <w:sz w:val="24"/>
                <w:szCs w:val="24"/>
              </w:rPr>
              <w:t>Typical Use Case</w:t>
            </w:r>
          </w:p>
        </w:tc>
      </w:tr>
      <w:tr w:rsidR="00060A3D" w:rsidRPr="00060A3D" w14:paraId="47A998B7" w14:textId="77777777" w:rsidTr="00060A3D">
        <w:tc>
          <w:tcPr>
            <w:tcW w:w="0" w:type="auto"/>
            <w:hideMark/>
          </w:tcPr>
          <w:p w14:paraId="36C63CBC"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Dense</w:t>
            </w:r>
          </w:p>
        </w:tc>
        <w:tc>
          <w:tcPr>
            <w:tcW w:w="0" w:type="auto"/>
            <w:hideMark/>
          </w:tcPr>
          <w:p w14:paraId="6E14DBF3"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Captures semantic similarity; robust to paraphrasing.</w:t>
            </w:r>
          </w:p>
        </w:tc>
        <w:tc>
          <w:tcPr>
            <w:tcW w:w="0" w:type="auto"/>
            <w:hideMark/>
          </w:tcPr>
          <w:p w14:paraId="3146E972"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May overlook symbolic or numeric details.</w:t>
            </w:r>
          </w:p>
        </w:tc>
        <w:tc>
          <w:tcPr>
            <w:tcW w:w="0" w:type="auto"/>
            <w:hideMark/>
          </w:tcPr>
          <w:p w14:paraId="0876911C"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Broad conceptual retrieval.</w:t>
            </w:r>
          </w:p>
        </w:tc>
      </w:tr>
      <w:tr w:rsidR="00060A3D" w:rsidRPr="00060A3D" w14:paraId="7839CC1A" w14:textId="77777777" w:rsidTr="00060A3D">
        <w:tc>
          <w:tcPr>
            <w:tcW w:w="0" w:type="auto"/>
            <w:hideMark/>
          </w:tcPr>
          <w:p w14:paraId="50549180"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Sparse (BM25)</w:t>
            </w:r>
          </w:p>
        </w:tc>
        <w:tc>
          <w:tcPr>
            <w:tcW w:w="0" w:type="auto"/>
            <w:hideMark/>
          </w:tcPr>
          <w:p w14:paraId="575EC05A"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High lexical precision; retains rule IDs and numeric tokens.</w:t>
            </w:r>
          </w:p>
        </w:tc>
        <w:tc>
          <w:tcPr>
            <w:tcW w:w="0" w:type="auto"/>
            <w:hideMark/>
          </w:tcPr>
          <w:p w14:paraId="69062944"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Fails with paraphrased input.</w:t>
            </w:r>
          </w:p>
        </w:tc>
        <w:tc>
          <w:tcPr>
            <w:tcW w:w="0" w:type="auto"/>
            <w:hideMark/>
          </w:tcPr>
          <w:p w14:paraId="2C69F71D"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Specific clause or threshold queries.</w:t>
            </w:r>
          </w:p>
        </w:tc>
      </w:tr>
      <w:tr w:rsidR="00060A3D" w:rsidRPr="00060A3D" w14:paraId="61CBCCD3" w14:textId="77777777" w:rsidTr="00060A3D">
        <w:tc>
          <w:tcPr>
            <w:tcW w:w="0" w:type="auto"/>
            <w:hideMark/>
          </w:tcPr>
          <w:p w14:paraId="5C5806F7"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Hybrid</w:t>
            </w:r>
          </w:p>
        </w:tc>
        <w:tc>
          <w:tcPr>
            <w:tcW w:w="0" w:type="auto"/>
            <w:hideMark/>
          </w:tcPr>
          <w:p w14:paraId="381025F2"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Combines lexical and semantic evidence; balanced accuracy.</w:t>
            </w:r>
          </w:p>
        </w:tc>
        <w:tc>
          <w:tcPr>
            <w:tcW w:w="0" w:type="auto"/>
            <w:hideMark/>
          </w:tcPr>
          <w:p w14:paraId="5E8C8430"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Requires weight tuning (λ).</w:t>
            </w:r>
          </w:p>
        </w:tc>
        <w:tc>
          <w:tcPr>
            <w:tcW w:w="0" w:type="auto"/>
            <w:hideMark/>
          </w:tcPr>
          <w:p w14:paraId="4FB80605"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General-purpose retrieval.</w:t>
            </w:r>
          </w:p>
        </w:tc>
      </w:tr>
      <w:tr w:rsidR="00060A3D" w:rsidRPr="00060A3D" w14:paraId="6D633414" w14:textId="77777777" w:rsidTr="00060A3D">
        <w:tc>
          <w:tcPr>
            <w:tcW w:w="0" w:type="auto"/>
            <w:hideMark/>
          </w:tcPr>
          <w:p w14:paraId="627DA0C7"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Hybrid-Rank</w:t>
            </w:r>
          </w:p>
        </w:tc>
        <w:tc>
          <w:tcPr>
            <w:tcW w:w="0" w:type="auto"/>
            <w:hideMark/>
          </w:tcPr>
          <w:p w14:paraId="088DE23D"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Clause-level precision after re-ranking; best explainability.</w:t>
            </w:r>
          </w:p>
        </w:tc>
        <w:tc>
          <w:tcPr>
            <w:tcW w:w="0" w:type="auto"/>
            <w:hideMark/>
          </w:tcPr>
          <w:p w14:paraId="462CFFDF"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Highest latency and compute cost.</w:t>
            </w:r>
          </w:p>
        </w:tc>
        <w:tc>
          <w:tcPr>
            <w:tcW w:w="0" w:type="auto"/>
            <w:hideMark/>
          </w:tcPr>
          <w:p w14:paraId="4760F351" w14:textId="77777777" w:rsidR="00060A3D" w:rsidRPr="00060A3D" w:rsidRDefault="00060A3D" w:rsidP="00060A3D">
            <w:pPr>
              <w:rPr>
                <w:rFonts w:ascii="Times New Roman" w:eastAsia="Times New Roman" w:hAnsi="Times New Roman" w:cs="Times New Roman"/>
                <w:sz w:val="24"/>
                <w:szCs w:val="24"/>
              </w:rPr>
            </w:pPr>
            <w:r w:rsidRPr="00060A3D">
              <w:rPr>
                <w:rFonts w:ascii="Times New Roman" w:eastAsia="Times New Roman" w:hAnsi="Times New Roman" w:cs="Times New Roman"/>
                <w:sz w:val="24"/>
                <w:szCs w:val="24"/>
              </w:rPr>
              <w:t>Safety-critical applications.</w:t>
            </w:r>
          </w:p>
        </w:tc>
      </w:tr>
    </w:tbl>
    <w:p w14:paraId="11D1D250" w14:textId="77777777" w:rsidR="00060A3D" w:rsidRPr="00060A3D" w:rsidRDefault="00060A3D" w:rsidP="00060A3D">
      <w:pPr>
        <w:spacing w:after="0" w:line="240" w:lineRule="auto"/>
        <w:rPr>
          <w:rFonts w:ascii="Times New Roman" w:eastAsia="Times New Roman" w:hAnsi="Times New Roman" w:cs="Times New Roman"/>
          <w:sz w:val="24"/>
          <w:szCs w:val="24"/>
        </w:rPr>
      </w:pPr>
    </w:p>
    <w:p w14:paraId="397E0208"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b/>
          <w:bCs/>
          <w:sz w:val="32"/>
          <w:szCs w:val="32"/>
        </w:rPr>
      </w:pPr>
      <w:r w:rsidRPr="00430FA0">
        <w:rPr>
          <w:b/>
          <w:bCs/>
          <w:sz w:val="28"/>
          <w:szCs w:val="28"/>
        </w:rPr>
        <w:t>3.3 Explainable RAG</w:t>
      </w:r>
    </w:p>
    <w:p w14:paraId="3220C4E0"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 xml:space="preserve">In engineering and regulatory contexts, it is not sufficient for an AI system merely to retrieve or generate information—it must also demonstrate </w:t>
      </w:r>
      <w:r w:rsidRPr="00430FA0">
        <w:rPr>
          <w:rFonts w:ascii="Times New Roman" w:eastAsia="Times New Roman" w:hAnsi="Times New Roman" w:cs="Times New Roman"/>
          <w:i/>
          <w:iCs/>
          <w:sz w:val="24"/>
          <w:szCs w:val="24"/>
        </w:rPr>
        <w:t>why</w:t>
      </w:r>
      <w:r w:rsidRPr="00430FA0">
        <w:rPr>
          <w:rFonts w:ascii="Times New Roman" w:eastAsia="Times New Roman" w:hAnsi="Times New Roman" w:cs="Times New Roman"/>
          <w:sz w:val="24"/>
          <w:szCs w:val="24"/>
        </w:rPr>
        <w:t xml:space="preserve"> and </w:t>
      </w:r>
      <w:r w:rsidRPr="00430FA0">
        <w:rPr>
          <w:rFonts w:ascii="Times New Roman" w:eastAsia="Times New Roman" w:hAnsi="Times New Roman" w:cs="Times New Roman"/>
          <w:i/>
          <w:iCs/>
          <w:sz w:val="24"/>
          <w:szCs w:val="24"/>
        </w:rPr>
        <w:t>from where</w:t>
      </w:r>
      <w:r w:rsidRPr="00430FA0">
        <w:rPr>
          <w:rFonts w:ascii="Times New Roman" w:eastAsia="Times New Roman" w:hAnsi="Times New Roman" w:cs="Times New Roman"/>
          <w:sz w:val="24"/>
          <w:szCs w:val="24"/>
        </w:rPr>
        <w:t xml:space="preserve"> that information originated.</w:t>
      </w:r>
      <w:r w:rsidRPr="00430FA0">
        <w:rPr>
          <w:rFonts w:ascii="Times New Roman" w:eastAsia="Times New Roman" w:hAnsi="Times New Roman" w:cs="Times New Roman"/>
          <w:sz w:val="24"/>
          <w:szCs w:val="24"/>
        </w:rPr>
        <w:br/>
        <w:t xml:space="preserve">To satisfy this requirement, the proposed framework incorporates an explainability module </w:t>
      </w:r>
      <w:r w:rsidRPr="00430FA0">
        <w:rPr>
          <w:rFonts w:ascii="Times New Roman" w:eastAsia="Times New Roman" w:hAnsi="Times New Roman" w:cs="Times New Roman"/>
          <w:sz w:val="24"/>
          <w:szCs w:val="24"/>
        </w:rPr>
        <w:lastRenderedPageBreak/>
        <w:t xml:space="preserve">termed </w:t>
      </w:r>
      <w:r w:rsidRPr="00430FA0">
        <w:rPr>
          <w:rFonts w:ascii="Times New Roman" w:eastAsia="Times New Roman" w:hAnsi="Times New Roman" w:cs="Times New Roman"/>
          <w:b/>
          <w:bCs/>
          <w:sz w:val="24"/>
          <w:szCs w:val="24"/>
        </w:rPr>
        <w:t>RAG-Explain</w:t>
      </w:r>
      <w:r w:rsidRPr="00430FA0">
        <w:rPr>
          <w:rFonts w:ascii="Times New Roman" w:eastAsia="Times New Roman" w:hAnsi="Times New Roman" w:cs="Times New Roman"/>
          <w:sz w:val="24"/>
          <w:szCs w:val="24"/>
        </w:rPr>
        <w:t>, which ensures complete traceability between generated responses and their supporting evidence [37].</w:t>
      </w:r>
    </w:p>
    <w:p w14:paraId="2E2D824B"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After each query is processed, RAG-Explain presents a ranked list of the top-10 evidence passages that contributed to the model’s final output.</w:t>
      </w:r>
      <w:r w:rsidRPr="00430FA0">
        <w:rPr>
          <w:rFonts w:ascii="Times New Roman" w:eastAsia="Times New Roman" w:hAnsi="Times New Roman" w:cs="Times New Roman"/>
          <w:sz w:val="24"/>
          <w:szCs w:val="24"/>
        </w:rPr>
        <w:br/>
        <w:t xml:space="preserve">Each passage includes structured metadata such as the </w:t>
      </w:r>
      <w:r w:rsidRPr="00430FA0">
        <w:rPr>
          <w:rFonts w:ascii="Times New Roman" w:eastAsia="Times New Roman" w:hAnsi="Times New Roman" w:cs="Times New Roman"/>
          <w:b/>
          <w:bCs/>
          <w:sz w:val="24"/>
          <w:szCs w:val="24"/>
        </w:rPr>
        <w:t>rule title</w:t>
      </w:r>
      <w:r w:rsidRPr="00430FA0">
        <w:rPr>
          <w:rFonts w:ascii="Times New Roman" w:eastAsia="Times New Roman" w:hAnsi="Times New Roman" w:cs="Times New Roman"/>
          <w:sz w:val="24"/>
          <w:szCs w:val="24"/>
        </w:rPr>
        <w:t xml:space="preserve">, </w:t>
      </w:r>
      <w:r w:rsidRPr="00430FA0">
        <w:rPr>
          <w:rFonts w:ascii="Times New Roman" w:eastAsia="Times New Roman" w:hAnsi="Times New Roman" w:cs="Times New Roman"/>
          <w:b/>
          <w:bCs/>
          <w:sz w:val="24"/>
          <w:szCs w:val="24"/>
        </w:rPr>
        <w:t>section identifier</w:t>
      </w:r>
      <w:r w:rsidRPr="00430FA0">
        <w:rPr>
          <w:rFonts w:ascii="Times New Roman" w:eastAsia="Times New Roman" w:hAnsi="Times New Roman" w:cs="Times New Roman"/>
          <w:sz w:val="24"/>
          <w:szCs w:val="24"/>
        </w:rPr>
        <w:t xml:space="preserve">, </w:t>
      </w:r>
      <w:r w:rsidRPr="00430FA0">
        <w:rPr>
          <w:rFonts w:ascii="Times New Roman" w:eastAsia="Times New Roman" w:hAnsi="Times New Roman" w:cs="Times New Roman"/>
          <w:b/>
          <w:bCs/>
          <w:sz w:val="24"/>
          <w:szCs w:val="24"/>
        </w:rPr>
        <w:t>page number</w:t>
      </w:r>
      <w:r w:rsidRPr="00430FA0">
        <w:rPr>
          <w:rFonts w:ascii="Times New Roman" w:eastAsia="Times New Roman" w:hAnsi="Times New Roman" w:cs="Times New Roman"/>
          <w:sz w:val="24"/>
          <w:szCs w:val="24"/>
        </w:rPr>
        <w:t xml:space="preserve">, and </w:t>
      </w:r>
      <w:r w:rsidRPr="00430FA0">
        <w:rPr>
          <w:rFonts w:ascii="Times New Roman" w:eastAsia="Times New Roman" w:hAnsi="Times New Roman" w:cs="Times New Roman"/>
          <w:b/>
          <w:bCs/>
          <w:sz w:val="24"/>
          <w:szCs w:val="24"/>
        </w:rPr>
        <w:t>content type</w:t>
      </w:r>
      <w:r w:rsidRPr="00430FA0">
        <w:rPr>
          <w:rFonts w:ascii="Times New Roman" w:eastAsia="Times New Roman" w:hAnsi="Times New Roman" w:cs="Times New Roman"/>
          <w:sz w:val="24"/>
          <w:szCs w:val="24"/>
        </w:rPr>
        <w:t xml:space="preserve"> (text, table, or formula).</w:t>
      </w:r>
      <w:r w:rsidRPr="00430FA0">
        <w:rPr>
          <w:rFonts w:ascii="Times New Roman" w:eastAsia="Times New Roman" w:hAnsi="Times New Roman" w:cs="Times New Roman"/>
          <w:sz w:val="24"/>
          <w:szCs w:val="24"/>
        </w:rPr>
        <w:br/>
        <w:t>This design enables engineers, surveyors, and auditors to verify every generated statement directly against the original rule clause within the classification document.</w:t>
      </w:r>
      <w:r w:rsidRPr="00430FA0">
        <w:rPr>
          <w:rFonts w:ascii="Times New Roman" w:eastAsia="Times New Roman" w:hAnsi="Times New Roman" w:cs="Times New Roman"/>
          <w:sz w:val="24"/>
          <w:szCs w:val="24"/>
        </w:rPr>
        <w:br/>
        <w:t>Interactive source links allow instant navigation to the referenced paragraph or table, thereby converting what would otherwise be opaque AI reasoning into a fully auditable workflow.</w:t>
      </w:r>
    </w:p>
    <w:p w14:paraId="22EC4493"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The explainability mechanism is tightly integrated with the retrieval stack described in Section 3.2.</w:t>
      </w:r>
      <w:r w:rsidRPr="00430FA0">
        <w:rPr>
          <w:rFonts w:ascii="Times New Roman" w:eastAsia="Times New Roman" w:hAnsi="Times New Roman" w:cs="Times New Roman"/>
          <w:sz w:val="24"/>
          <w:szCs w:val="24"/>
        </w:rPr>
        <w:br/>
        <w:t xml:space="preserve">Each query initiates not only the retrieval and generation processes but also a </w:t>
      </w:r>
      <w:r w:rsidRPr="00430FA0">
        <w:rPr>
          <w:rFonts w:ascii="Times New Roman" w:eastAsia="Times New Roman" w:hAnsi="Times New Roman" w:cs="Times New Roman"/>
          <w:b/>
          <w:bCs/>
          <w:sz w:val="24"/>
          <w:szCs w:val="24"/>
        </w:rPr>
        <w:t>logging subsystem</w:t>
      </w:r>
      <w:r w:rsidRPr="00430FA0">
        <w:rPr>
          <w:rFonts w:ascii="Times New Roman" w:eastAsia="Times New Roman" w:hAnsi="Times New Roman" w:cs="Times New Roman"/>
          <w:sz w:val="24"/>
          <w:szCs w:val="24"/>
        </w:rPr>
        <w:t xml:space="preserve"> that records the identity, retrieval rank, and confidence score of every candidate chunk.</w:t>
      </w:r>
      <w:r w:rsidRPr="00430FA0">
        <w:rPr>
          <w:rFonts w:ascii="Times New Roman" w:eastAsia="Times New Roman" w:hAnsi="Times New Roman" w:cs="Times New Roman"/>
          <w:sz w:val="24"/>
          <w:szCs w:val="24"/>
        </w:rPr>
        <w:br/>
        <w:t>During the generation phase, these identifiers are embedded into the output metadata so that reviewers can reproduce the evidence chain.</w:t>
      </w:r>
      <w:r w:rsidRPr="00430FA0">
        <w:rPr>
          <w:rFonts w:ascii="Times New Roman" w:eastAsia="Times New Roman" w:hAnsi="Times New Roman" w:cs="Times New Roman"/>
          <w:sz w:val="24"/>
          <w:szCs w:val="24"/>
        </w:rPr>
        <w:br/>
        <w:t xml:space="preserve">As a result, RAG-Explain transforms the retrieval-augmented generation process from a statistical language model into a </w:t>
      </w:r>
      <w:r w:rsidRPr="00430FA0">
        <w:rPr>
          <w:rFonts w:ascii="Times New Roman" w:eastAsia="Times New Roman" w:hAnsi="Times New Roman" w:cs="Times New Roman"/>
          <w:b/>
          <w:bCs/>
          <w:sz w:val="24"/>
          <w:szCs w:val="24"/>
        </w:rPr>
        <w:t>verifiable reasoning system</w:t>
      </w:r>
      <w:r w:rsidRPr="00430FA0">
        <w:rPr>
          <w:rFonts w:ascii="Times New Roman" w:eastAsia="Times New Roman" w:hAnsi="Times New Roman" w:cs="Times New Roman"/>
          <w:sz w:val="24"/>
          <w:szCs w:val="24"/>
        </w:rPr>
        <w:t>, where each answer can be traced to a precise regulatory source.</w:t>
      </w:r>
    </w:p>
    <w:p w14:paraId="5D0F8043"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This degree of transparency is crucial for the maritime industry.</w:t>
      </w:r>
      <w:r w:rsidRPr="00430FA0">
        <w:rPr>
          <w:rFonts w:ascii="Times New Roman" w:eastAsia="Times New Roman" w:hAnsi="Times New Roman" w:cs="Times New Roman"/>
          <w:sz w:val="24"/>
          <w:szCs w:val="24"/>
        </w:rPr>
        <w:br/>
        <w:t>Even minor discrepancies in numeric limits or design parameters can influence vessel certification outcomes.</w:t>
      </w:r>
      <w:r w:rsidRPr="00430FA0">
        <w:rPr>
          <w:rFonts w:ascii="Times New Roman" w:eastAsia="Times New Roman" w:hAnsi="Times New Roman" w:cs="Times New Roman"/>
          <w:sz w:val="24"/>
          <w:szCs w:val="24"/>
        </w:rPr>
        <w:br/>
        <w:t>By exposing the provenance of each response, RAG-Explain enables domain experts to confirm compliance, accelerates rule validation, and satisfies auditing obligations typical of safety-critical engineering workflows.</w:t>
      </w:r>
      <w:r w:rsidRPr="00430FA0">
        <w:rPr>
          <w:rFonts w:ascii="Times New Roman" w:eastAsia="Times New Roman" w:hAnsi="Times New Roman" w:cs="Times New Roman"/>
          <w:sz w:val="24"/>
          <w:szCs w:val="24"/>
        </w:rPr>
        <w:br/>
        <w:t>In practice, this capability has proven especially valuable during design review sessions, where subject-matter experts must validate every clause cited in support of an engineering decision.</w:t>
      </w:r>
    </w:p>
    <w:p w14:paraId="36B86168" w14:textId="77777777" w:rsidR="00430FA0" w:rsidRPr="00430FA0" w:rsidRDefault="00430FA0" w:rsidP="00430FA0">
      <w:pPr>
        <w:spacing w:before="100" w:beforeAutospacing="1" w:after="100" w:afterAutospacing="1" w:line="240" w:lineRule="auto"/>
        <w:jc w:val="both"/>
        <w:rPr>
          <w:rFonts w:ascii="Times New Roman" w:eastAsia="Times New Roman" w:hAnsi="Times New Roman" w:cs="Times New Roman"/>
          <w:sz w:val="24"/>
          <w:szCs w:val="24"/>
        </w:rPr>
      </w:pPr>
      <w:r w:rsidRPr="00430FA0">
        <w:rPr>
          <w:rFonts w:ascii="Times New Roman" w:eastAsia="Times New Roman" w:hAnsi="Times New Roman" w:cs="Times New Roman"/>
          <w:sz w:val="24"/>
          <w:szCs w:val="24"/>
        </w:rPr>
        <w:t xml:space="preserve">In summary, </w:t>
      </w:r>
      <w:r w:rsidRPr="00430FA0">
        <w:rPr>
          <w:rFonts w:ascii="Times New Roman" w:eastAsia="Times New Roman" w:hAnsi="Times New Roman" w:cs="Times New Roman"/>
          <w:b/>
          <w:bCs/>
          <w:sz w:val="24"/>
          <w:szCs w:val="24"/>
        </w:rPr>
        <w:t>RAG-Explain bridges the gap between AI-assisted retrieval and engineering accountability</w:t>
      </w:r>
      <w:r w:rsidRPr="00430FA0">
        <w:rPr>
          <w:rFonts w:ascii="Times New Roman" w:eastAsia="Times New Roman" w:hAnsi="Times New Roman" w:cs="Times New Roman"/>
          <w:sz w:val="24"/>
          <w:szCs w:val="24"/>
        </w:rPr>
        <w:t>.</w:t>
      </w:r>
      <w:r w:rsidRPr="00430FA0">
        <w:rPr>
          <w:rFonts w:ascii="Times New Roman" w:eastAsia="Times New Roman" w:hAnsi="Times New Roman" w:cs="Times New Roman"/>
          <w:sz w:val="24"/>
          <w:szCs w:val="24"/>
        </w:rPr>
        <w:br/>
        <w:t xml:space="preserve">It elevates the RAG framework from a conventional information-retrieval tool to a </w:t>
      </w:r>
      <w:r w:rsidRPr="00430FA0">
        <w:rPr>
          <w:rFonts w:ascii="Times New Roman" w:eastAsia="Times New Roman" w:hAnsi="Times New Roman" w:cs="Times New Roman"/>
          <w:b/>
          <w:bCs/>
          <w:sz w:val="24"/>
          <w:szCs w:val="24"/>
        </w:rPr>
        <w:t>trustworthy decision-support assistant</w:t>
      </w:r>
      <w:r w:rsidRPr="00430FA0">
        <w:rPr>
          <w:rFonts w:ascii="Times New Roman" w:eastAsia="Times New Roman" w:hAnsi="Times New Roman" w:cs="Times New Roman"/>
          <w:sz w:val="24"/>
          <w:szCs w:val="24"/>
        </w:rPr>
        <w:t xml:space="preserve"> that integrates the interpretability, reproducibility, and verification standards demanded by maritime classification authorities.</w:t>
      </w:r>
      <w:r w:rsidRPr="00430FA0">
        <w:rPr>
          <w:rFonts w:ascii="Times New Roman" w:eastAsia="Times New Roman" w:hAnsi="Times New Roman" w:cs="Times New Roman"/>
          <w:sz w:val="24"/>
          <w:szCs w:val="24"/>
        </w:rPr>
        <w:br/>
        <w:t>Through this explainability layer, the system not only enhances confidence in AI-generated outputs but also advances the broader goal of transparent, auditable, and regulation-aligned digital engineering.</w:t>
      </w:r>
    </w:p>
    <w:p w14:paraId="5A7DAF2B" w14:textId="77777777" w:rsidR="000D0830" w:rsidRPr="00CA24A5" w:rsidRDefault="000D0830" w:rsidP="000D0830">
      <w:pPr>
        <w:jc w:val="both"/>
        <w:rPr>
          <w:rFonts w:eastAsiaTheme="minorEastAsia"/>
          <w:b/>
          <w:bCs/>
          <w:sz w:val="24"/>
          <w:szCs w:val="24"/>
          <w:lang w:bidi="fa-IR"/>
        </w:rPr>
      </w:pPr>
      <w:r w:rsidRPr="00CA24A5">
        <w:rPr>
          <w:rFonts w:eastAsiaTheme="minorEastAsia"/>
          <w:b/>
          <w:bCs/>
          <w:sz w:val="24"/>
          <w:szCs w:val="24"/>
          <w:lang w:bidi="fa-IR"/>
        </w:rPr>
        <w:t>3.4 Integration into Chat-like System</w:t>
      </w:r>
    </w:p>
    <w:p w14:paraId="22B5DD0A" w14:textId="77777777" w:rsidR="000D0830" w:rsidRDefault="000D0830" w:rsidP="000D0830">
      <w:pPr>
        <w:jc w:val="both"/>
        <w:rPr>
          <w:rFonts w:eastAsiaTheme="minorEastAsia"/>
          <w:rtl/>
          <w:lang w:bidi="fa-IR"/>
        </w:rPr>
      </w:pPr>
      <w:r w:rsidRPr="00CA24A5">
        <w:rPr>
          <w:rFonts w:eastAsiaTheme="minorEastAsia"/>
          <w:lang w:bidi="fa-IR"/>
        </w:rPr>
        <w:t xml:space="preserve">To enable practical use of the proposed retrieval and explainability pipeline, the system was implemented as a </w:t>
      </w:r>
      <w:r w:rsidRPr="00CA24A5">
        <w:rPr>
          <w:rFonts w:eastAsiaTheme="minorEastAsia"/>
          <w:b/>
          <w:bCs/>
          <w:lang w:bidi="fa-IR"/>
        </w:rPr>
        <w:t>chat-oriented application</w:t>
      </w:r>
      <w:r w:rsidRPr="00CA24A5">
        <w:rPr>
          <w:rFonts w:eastAsiaTheme="minorEastAsia"/>
          <w:lang w:bidi="fa-IR"/>
        </w:rPr>
        <w:t xml:space="preserve"> that mirrors the interaction style of ChatGPT. This design allows engineers to pose free-form natural language questions and instantly receive precise, traceable answers derived exclusively from the classification database. The interface supports persistent multi-turn dialogue, maintaining short-term conversational memory to provide contextual continuity while avoiding unrelated responses.</w:t>
      </w:r>
    </w:p>
    <w:p w14:paraId="35ED88FF" w14:textId="77777777" w:rsidR="000D0830" w:rsidRPr="00CA24A5" w:rsidRDefault="000D0830" w:rsidP="000D0830">
      <w:pPr>
        <w:jc w:val="both"/>
        <w:rPr>
          <w:rFonts w:eastAsiaTheme="minorEastAsia"/>
          <w:lang w:bidi="fa-IR"/>
        </w:rPr>
      </w:pPr>
      <w:r w:rsidRPr="00CA24A5">
        <w:rPr>
          <w:rFonts w:eastAsiaTheme="minorEastAsia"/>
          <w:lang w:bidi="fa-IR"/>
        </w:rPr>
        <w:lastRenderedPageBreak/>
        <w:t xml:space="preserve">The platform was built using </w:t>
      </w:r>
      <w:r w:rsidRPr="00CA24A5">
        <w:rPr>
          <w:rFonts w:eastAsiaTheme="minorEastAsia"/>
          <w:b/>
          <w:bCs/>
          <w:lang w:bidi="fa-IR"/>
        </w:rPr>
        <w:t>Python 3.12</w:t>
      </w:r>
      <w:r w:rsidRPr="00CA24A5">
        <w:rPr>
          <w:rFonts w:eastAsiaTheme="minorEastAsia"/>
          <w:lang w:bidi="fa-IR"/>
        </w:rPr>
        <w:t xml:space="preserve"> and the </w:t>
      </w:r>
      <w:r w:rsidRPr="00CA24A5">
        <w:rPr>
          <w:rFonts w:eastAsiaTheme="minorEastAsia"/>
          <w:b/>
          <w:bCs/>
          <w:lang w:bidi="fa-IR"/>
        </w:rPr>
        <w:t>Django framework</w:t>
      </w:r>
      <w:r w:rsidRPr="00CA24A5">
        <w:rPr>
          <w:rFonts w:eastAsiaTheme="minorEastAsia"/>
          <w:lang w:bidi="fa-IR"/>
        </w:rPr>
        <w:t xml:space="preserve"> for backend logic and user management. The retrieval modules, ranking functions, and RAG-Explain layer are fully integrated within the Django backend, which also manages the internal data flow between retriever, generator, and citation components. All data and metadata, including embeddings and audit logs, are stored in a </w:t>
      </w:r>
      <w:r w:rsidRPr="00CA24A5">
        <w:rPr>
          <w:rFonts w:eastAsiaTheme="minorEastAsia"/>
          <w:b/>
          <w:bCs/>
          <w:lang w:bidi="fa-IR"/>
        </w:rPr>
        <w:t>PostgreSQL</w:t>
      </w:r>
      <w:r w:rsidRPr="00CA24A5">
        <w:rPr>
          <w:rFonts w:eastAsiaTheme="minorEastAsia"/>
          <w:lang w:bidi="fa-IR"/>
        </w:rPr>
        <w:t xml:space="preserve"> database to ensure stability and scalability. Unlike conventional API-based frontends, the entire client-side logic was developed directly within Django templates using </w:t>
      </w:r>
      <w:r w:rsidRPr="00CA24A5">
        <w:rPr>
          <w:rFonts w:eastAsiaTheme="minorEastAsia"/>
          <w:b/>
          <w:bCs/>
          <w:lang w:bidi="fa-IR"/>
        </w:rPr>
        <w:t>HTML, CSS, and vanilla JavaScript</w:t>
      </w:r>
      <w:r w:rsidRPr="00CA24A5">
        <w:rPr>
          <w:rFonts w:eastAsiaTheme="minorEastAsia"/>
          <w:lang w:bidi="fa-IR"/>
        </w:rPr>
        <w:t>, eliminating the need for external frameworks and simplifying deployment.</w:t>
      </w:r>
    </w:p>
    <w:p w14:paraId="74AD7999" w14:textId="77777777" w:rsidR="000D0830" w:rsidRDefault="000D0830" w:rsidP="000D0830">
      <w:pPr>
        <w:jc w:val="both"/>
        <w:rPr>
          <w:rFonts w:eastAsiaTheme="minorEastAsia"/>
          <w:rtl/>
          <w:lang w:bidi="fa-IR"/>
        </w:rPr>
      </w:pPr>
      <w:r w:rsidRPr="00CA24A5">
        <w:rPr>
          <w:rFonts w:eastAsiaTheme="minorEastAsia"/>
          <w:lang w:bidi="fa-IR"/>
        </w:rPr>
        <w:t xml:space="preserve">The user interface replicates the familiar structure of modern conversational agents. The input panel allows engineers to type a query, while the output panel presents the generated response along with its supporting references from the </w:t>
      </w:r>
      <w:proofErr w:type="gramStart"/>
      <w:r w:rsidRPr="00CA24A5">
        <w:rPr>
          <w:rFonts w:eastAsiaTheme="minorEastAsia"/>
          <w:lang w:bidi="fa-IR"/>
        </w:rPr>
        <w:t>top-10</w:t>
      </w:r>
      <w:proofErr w:type="gramEnd"/>
      <w:r w:rsidRPr="00CA24A5">
        <w:rPr>
          <w:rFonts w:eastAsiaTheme="minorEastAsia"/>
          <w:lang w:bidi="fa-IR"/>
        </w:rPr>
        <w:t xml:space="preserve"> retrieved passages. Each citation is interactive, allowing users to click and view the exact rule paragraph or table from which the information was extracted. Additional graphical options—such as adjustable font size and theme customization (light/dark modes)—improve readability for extended professional use.</w:t>
      </w:r>
    </w:p>
    <w:p w14:paraId="3E1ED00D" w14:textId="77777777" w:rsidR="000D0830" w:rsidRPr="00CA24A5" w:rsidRDefault="000D0830" w:rsidP="000D0830">
      <w:pPr>
        <w:jc w:val="both"/>
        <w:rPr>
          <w:rFonts w:eastAsiaTheme="minorEastAsia"/>
          <w:lang w:bidi="fa-IR"/>
        </w:rPr>
      </w:pPr>
      <w:r w:rsidRPr="00CA24A5">
        <w:rPr>
          <w:rFonts w:eastAsiaTheme="minorEastAsia"/>
          <w:lang w:bidi="fa-IR"/>
        </w:rPr>
        <w:t xml:space="preserve">The system is fully web-deployable and can be hosted on a standard Django server, allowing controlled access by classification engineers, surveyors, or auditors. Figure </w:t>
      </w:r>
      <w:r>
        <w:rPr>
          <w:rFonts w:eastAsiaTheme="minorEastAsia" w:hint="cs"/>
          <w:rtl/>
          <w:lang w:bidi="fa-IR"/>
        </w:rPr>
        <w:t>4</w:t>
      </w:r>
      <w:r w:rsidRPr="00CA24A5">
        <w:rPr>
          <w:rFonts w:eastAsiaTheme="minorEastAsia"/>
          <w:lang w:bidi="fa-IR"/>
        </w:rPr>
        <w:t xml:space="preserve"> shows the user interface of the chat-like platform, demonstrating how retrieval, generation, and citation visualization are integrated into a single interactive environment. This implementation transforms the RAG pipeline into a </w:t>
      </w:r>
      <w:r w:rsidRPr="00CA24A5">
        <w:rPr>
          <w:rFonts w:eastAsiaTheme="minorEastAsia"/>
          <w:b/>
          <w:bCs/>
          <w:lang w:bidi="fa-IR"/>
        </w:rPr>
        <w:t>practical decision-support assistant</w:t>
      </w:r>
      <w:r w:rsidRPr="00CA24A5">
        <w:rPr>
          <w:rFonts w:eastAsiaTheme="minorEastAsia"/>
          <w:lang w:bidi="fa-IR"/>
        </w:rPr>
        <w:t xml:space="preserve">, enabling </w:t>
      </w:r>
      <w:proofErr w:type="gramStart"/>
      <w:r w:rsidRPr="00CA24A5">
        <w:rPr>
          <w:rFonts w:eastAsiaTheme="minorEastAsia"/>
          <w:lang w:bidi="fa-IR"/>
        </w:rPr>
        <w:t>reliable question answering</w:t>
      </w:r>
      <w:proofErr w:type="gramEnd"/>
      <w:r w:rsidRPr="00CA24A5">
        <w:rPr>
          <w:rFonts w:eastAsiaTheme="minorEastAsia"/>
          <w:lang w:bidi="fa-IR"/>
        </w:rPr>
        <w:t xml:space="preserve"> and traceable information retrieval within the maritime regulatory domain.</w:t>
      </w:r>
    </w:p>
    <w:p w14:paraId="3F206B19" w14:textId="77777777" w:rsidR="000D0830" w:rsidRPr="00CA24A5" w:rsidRDefault="000D0830" w:rsidP="000D0830">
      <w:pPr>
        <w:jc w:val="both"/>
        <w:rPr>
          <w:rFonts w:eastAsiaTheme="minorEastAsia"/>
          <w:rtl/>
          <w:lang w:bidi="fa-IR"/>
        </w:rPr>
      </w:pPr>
    </w:p>
    <w:p w14:paraId="59B978E5" w14:textId="77777777" w:rsidR="000D0830" w:rsidRPr="00CA24A5" w:rsidRDefault="000D0830" w:rsidP="000D0830">
      <w:pPr>
        <w:jc w:val="both"/>
        <w:rPr>
          <w:rFonts w:eastAsiaTheme="minorEastAsia"/>
          <w:lang w:bidi="fa-IR"/>
        </w:rPr>
      </w:pPr>
      <w:r>
        <w:rPr>
          <w:noProof/>
        </w:rPr>
        <w:drawing>
          <wp:inline distT="0" distB="0" distL="0" distR="0" wp14:anchorId="58899108" wp14:editId="17AEE7C6">
            <wp:extent cx="5731510" cy="2703830"/>
            <wp:effectExtent l="0" t="0" r="2540" b="1270"/>
            <wp:docPr id="18972601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703830"/>
                    </a:xfrm>
                    <a:prstGeom prst="rect">
                      <a:avLst/>
                    </a:prstGeom>
                    <a:noFill/>
                    <a:ln>
                      <a:noFill/>
                    </a:ln>
                  </pic:spPr>
                </pic:pic>
              </a:graphicData>
            </a:graphic>
          </wp:inline>
        </w:drawing>
      </w:r>
    </w:p>
    <w:p w14:paraId="3B5FC8BA" w14:textId="77777777" w:rsidR="000D0830" w:rsidRPr="00C24B1B" w:rsidRDefault="000D0830" w:rsidP="000D0830">
      <w:pPr>
        <w:jc w:val="both"/>
        <w:rPr>
          <w:rFonts w:eastAsiaTheme="minorEastAsia"/>
          <w:lang w:bidi="fa-IR"/>
        </w:rPr>
      </w:pPr>
    </w:p>
    <w:p w14:paraId="64A451BF" w14:textId="77777777" w:rsidR="000D0830" w:rsidRPr="00140499" w:rsidRDefault="000D0830" w:rsidP="000D0830">
      <w:pPr>
        <w:jc w:val="center"/>
        <w:rPr>
          <w:rFonts w:cstheme="minorHAnsi"/>
          <w:sz w:val="18"/>
          <w:szCs w:val="18"/>
          <w:rtl/>
        </w:rPr>
      </w:pPr>
      <w:r w:rsidRPr="00140499">
        <w:rPr>
          <w:rFonts w:cstheme="minorHAnsi"/>
          <w:b/>
          <w:bCs/>
          <w:sz w:val="18"/>
          <w:szCs w:val="18"/>
        </w:rPr>
        <w:t xml:space="preserve">Figure </w:t>
      </w:r>
      <w:r>
        <w:rPr>
          <w:rFonts w:cstheme="minorHAnsi"/>
          <w:b/>
          <w:bCs/>
          <w:sz w:val="18"/>
          <w:szCs w:val="18"/>
        </w:rPr>
        <w:t>4</w:t>
      </w:r>
      <w:r w:rsidRPr="00140499">
        <w:rPr>
          <w:rFonts w:cstheme="minorHAnsi"/>
          <w:b/>
          <w:bCs/>
          <w:sz w:val="18"/>
          <w:szCs w:val="18"/>
        </w:rPr>
        <w:t>.</w:t>
      </w:r>
      <w:r w:rsidRPr="00140499">
        <w:rPr>
          <w:rFonts w:cstheme="minorHAnsi"/>
          <w:sz w:val="18"/>
          <w:szCs w:val="18"/>
        </w:rPr>
        <w:t xml:space="preserve"> Interface of the developed chat-based RAG system. The interface includes a document upload panel, a natural-language query input field, and a retrieved evidence display area showing the sources used to generate each answer.</w:t>
      </w:r>
    </w:p>
    <w:p w14:paraId="0EE105D9" w14:textId="77777777" w:rsidR="002E422F" w:rsidRPr="00140499" w:rsidRDefault="002E422F" w:rsidP="002E422F">
      <w:pPr>
        <w:jc w:val="both"/>
        <w:rPr>
          <w:rFonts w:cstheme="minorHAnsi"/>
          <w:b/>
          <w:bCs/>
          <w:sz w:val="28"/>
          <w:szCs w:val="28"/>
          <w:rtl/>
        </w:rPr>
      </w:pPr>
      <w:r w:rsidRPr="00140499">
        <w:rPr>
          <w:rFonts w:cstheme="minorHAnsi"/>
          <w:b/>
          <w:bCs/>
          <w:sz w:val="28"/>
          <w:szCs w:val="28"/>
        </w:rPr>
        <w:t>3.5 Evaluation Metrics</w:t>
      </w:r>
    </w:p>
    <w:p w14:paraId="69AA1A2A" w14:textId="77777777" w:rsidR="002E422F" w:rsidRPr="00140499" w:rsidRDefault="002E422F" w:rsidP="002E422F">
      <w:pPr>
        <w:jc w:val="both"/>
        <w:rPr>
          <w:rFonts w:cstheme="minorHAnsi"/>
        </w:rPr>
      </w:pPr>
      <w:r w:rsidRPr="00140499">
        <w:rPr>
          <w:rFonts w:cstheme="minorHAnsi"/>
        </w:rPr>
        <w:t>To evaluate the overall performance of the proposed RAG-based system, a hybrid framework of quantitative and qualitative metrics was adopted. The evaluation focuses on three key dimensions—</w:t>
      </w:r>
      <w:r w:rsidRPr="00140499">
        <w:rPr>
          <w:rFonts w:cstheme="minorHAnsi"/>
          <w:b/>
          <w:bCs/>
        </w:rPr>
        <w:t>semantic accuracy</w:t>
      </w:r>
      <w:r w:rsidRPr="00140499">
        <w:rPr>
          <w:rFonts w:cstheme="minorHAnsi"/>
        </w:rPr>
        <w:t xml:space="preserve">, </w:t>
      </w:r>
      <w:r w:rsidRPr="00140499">
        <w:rPr>
          <w:rFonts w:cstheme="minorHAnsi"/>
          <w:b/>
          <w:bCs/>
        </w:rPr>
        <w:t>linguistic quality</w:t>
      </w:r>
      <w:r w:rsidRPr="00140499">
        <w:rPr>
          <w:rFonts w:cstheme="minorHAnsi"/>
        </w:rPr>
        <w:t xml:space="preserve">, and </w:t>
      </w:r>
      <w:r w:rsidRPr="00140499">
        <w:rPr>
          <w:rFonts w:cstheme="minorHAnsi"/>
          <w:b/>
          <w:bCs/>
        </w:rPr>
        <w:t>computational efficiency</w:t>
      </w:r>
      <w:r w:rsidRPr="00140499">
        <w:rPr>
          <w:rFonts w:cstheme="minorHAnsi"/>
        </w:rPr>
        <w:t>—which collectively capture both the factual reliability and real-time applicability of the system in maritime regulatory environments.</w:t>
      </w:r>
    </w:p>
    <w:p w14:paraId="3DBAB046" w14:textId="77777777" w:rsidR="002E422F" w:rsidRPr="00140499" w:rsidRDefault="002E422F" w:rsidP="002E422F">
      <w:pPr>
        <w:jc w:val="both"/>
        <w:rPr>
          <w:rFonts w:cstheme="minorHAnsi"/>
        </w:rPr>
      </w:pPr>
    </w:p>
    <w:p w14:paraId="3E09404D" w14:textId="77777777" w:rsidR="002E422F" w:rsidRPr="00140499" w:rsidRDefault="002E422F" w:rsidP="002E422F">
      <w:pPr>
        <w:jc w:val="both"/>
        <w:rPr>
          <w:rFonts w:cstheme="minorHAnsi"/>
          <w:b/>
          <w:bCs/>
        </w:rPr>
      </w:pPr>
      <w:r w:rsidRPr="00140499">
        <w:rPr>
          <w:rFonts w:cstheme="minorHAnsi"/>
          <w:b/>
          <w:bCs/>
        </w:rPr>
        <w:t>3.5.1 Semantic Accuracy (Context Precision)</w:t>
      </w:r>
    </w:p>
    <w:p w14:paraId="03F49FC5" w14:textId="77777777" w:rsidR="002E422F" w:rsidRDefault="002E422F" w:rsidP="002E422F">
      <w:pPr>
        <w:rPr>
          <w:rFonts w:cstheme="minorHAnsi"/>
          <w:rtl/>
        </w:rPr>
      </w:pPr>
      <w:r w:rsidRPr="00140499">
        <w:rPr>
          <w:rFonts w:cstheme="minorHAnsi"/>
        </w:rPr>
        <w:t xml:space="preserve">Semantic correctness between the generated answer and the reference ground-truth was measured using </w:t>
      </w:r>
      <w:r w:rsidRPr="00140499">
        <w:rPr>
          <w:rFonts w:cstheme="minorHAnsi"/>
          <w:b/>
          <w:bCs/>
        </w:rPr>
        <w:t>Context Precision (CP)</w:t>
      </w:r>
      <w:r w:rsidRPr="00140499">
        <w:rPr>
          <w:rFonts w:cstheme="minorHAnsi"/>
        </w:rPr>
        <w:t>, computed through Sentence-BERT (SBERT) embeddings and cosine similarity.</w:t>
      </w:r>
      <w:r w:rsidRPr="00140499">
        <w:rPr>
          <w:rFonts w:cstheme="minorHAnsi"/>
        </w:rPr>
        <w:br/>
        <w:t xml:space="preserve">Given embedding vectors </w:t>
      </w:r>
      <m:oMath>
        <m:sSub>
          <m:sSubPr>
            <m:ctrlPr>
              <w:rPr>
                <w:rFonts w:ascii="Cambria Math" w:hAnsi="Cambria Math" w:cstheme="minorHAnsi"/>
              </w:rPr>
            </m:ctrlPr>
          </m:sSubPr>
          <m:e>
            <m:r>
              <w:rPr>
                <w:rFonts w:ascii="Cambria Math" w:hAnsi="Cambria Math" w:cstheme="minorHAnsi"/>
              </w:rPr>
              <m:t>e</m:t>
            </m:r>
          </m:e>
          <m:sub>
            <m:r>
              <w:rPr>
                <w:rFonts w:ascii="Cambria Math" w:hAnsi="Cambria Math" w:cstheme="minorHAnsi"/>
              </w:rPr>
              <m:t>g</m:t>
            </m:r>
          </m:sub>
        </m:sSub>
      </m:oMath>
      <w:r w:rsidRPr="00140499">
        <w:rPr>
          <w:rFonts w:cstheme="minorHAnsi"/>
        </w:rPr>
        <w:t xml:space="preserve">and </w:t>
      </w:r>
      <m:oMath>
        <m:sSub>
          <m:sSubPr>
            <m:ctrlPr>
              <w:rPr>
                <w:rFonts w:ascii="Cambria Math" w:hAnsi="Cambria Math" w:cstheme="minorHAnsi"/>
              </w:rPr>
            </m:ctrlPr>
          </m:sSubPr>
          <m:e>
            <m:r>
              <w:rPr>
                <w:rFonts w:ascii="Cambria Math" w:hAnsi="Cambria Math" w:cstheme="minorHAnsi"/>
              </w:rPr>
              <m:t>e</m:t>
            </m:r>
          </m:e>
          <m:sub>
            <m:r>
              <w:rPr>
                <w:rFonts w:ascii="Cambria Math" w:hAnsi="Cambria Math" w:cstheme="minorHAnsi"/>
              </w:rPr>
              <m:t>r</m:t>
            </m:r>
          </m:sub>
        </m:sSub>
      </m:oMath>
      <w:r w:rsidRPr="00140499">
        <w:rPr>
          <w:rFonts w:cstheme="minorHAnsi"/>
        </w:rPr>
        <w:t>for the generated and reference texts, respectively:</w:t>
      </w:r>
    </w:p>
    <w:p w14:paraId="2291F510" w14:textId="3206F0E5" w:rsidR="009726FA" w:rsidRPr="00140499" w:rsidRDefault="009726FA" w:rsidP="002E422F">
      <w:pPr>
        <w:rPr>
          <w:rFonts w:cstheme="minorHAnsi"/>
        </w:rPr>
      </w:pPr>
      <m:oMathPara>
        <m:oMath>
          <m:r>
            <w:rPr>
              <w:rFonts w:ascii="Cambria Math" w:hAnsi="Cambria Math" w:cstheme="minorHAnsi"/>
            </w:rPr>
            <m:t>CP=</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g</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r</m:t>
                  </m:r>
                </m:sub>
              </m:sSub>
            </m:e>
          </m:d>
          <m:r>
            <m:rPr>
              <m:lit/>
            </m:rPr>
            <w:rPr>
              <w:rFonts w:ascii="Cambria Math" w:hAnsi="Cambria Math" w:cstheme="minorHAnsi"/>
            </w:rPr>
            <m:t>/</m:t>
          </m:r>
          <m:d>
            <m:dPr>
              <m:ctrlPr>
                <w:rPr>
                  <w:rFonts w:ascii="Cambria Math" w:hAnsi="Cambria Math" w:cstheme="minorHAnsi"/>
                  <w:i/>
                </w:rPr>
              </m:ctrlPr>
            </m:dPr>
            <m:e>
              <m:d>
                <m:dPr>
                  <m:begChr m:val="|"/>
                  <m:endChr m:val="|"/>
                  <m:ctrlPr>
                    <w:rPr>
                      <w:rFonts w:ascii="Cambria Math" w:hAnsi="Cambria Math" w:cstheme="minorHAnsi"/>
                      <w:i/>
                    </w:rPr>
                  </m:ctrlPr>
                </m:dPr>
                <m:e>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g</m:t>
                          </m:r>
                        </m:sub>
                      </m:sSub>
                    </m:e>
                  </m:d>
                </m:e>
              </m:d>
              <m:r>
                <w:rPr>
                  <w:rFonts w:ascii="Cambria Math" w:hAnsi="Cambria Math" w:cstheme="minorHAnsi"/>
                </w:rPr>
                <m:t>·</m:t>
              </m:r>
              <m:d>
                <m:dPr>
                  <m:begChr m:val="|"/>
                  <m:endChr m:val="|"/>
                  <m:ctrlPr>
                    <w:rPr>
                      <w:rFonts w:ascii="Cambria Math" w:hAnsi="Cambria Math" w:cstheme="minorHAnsi"/>
                      <w:i/>
                    </w:rPr>
                  </m:ctrlPr>
                </m:dPr>
                <m:e>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r</m:t>
                          </m:r>
                        </m:sub>
                      </m:sSub>
                    </m:e>
                  </m:d>
                </m:e>
              </m:d>
            </m:e>
          </m:d>
        </m:oMath>
      </m:oMathPara>
    </w:p>
    <w:p w14:paraId="132F6518" w14:textId="77777777" w:rsidR="002E422F" w:rsidRPr="00140499" w:rsidRDefault="002E422F" w:rsidP="002E422F">
      <w:pPr>
        <w:rPr>
          <w:rFonts w:cstheme="minorHAnsi"/>
        </w:rPr>
      </w:pPr>
      <w:r w:rsidRPr="00140499">
        <w:rPr>
          <w:rFonts w:cstheme="minorHAnsi"/>
        </w:rPr>
        <w:t xml:space="preserve">This metric quantifies </w:t>
      </w:r>
      <w:r w:rsidRPr="00140499">
        <w:rPr>
          <w:rFonts w:cstheme="minorHAnsi"/>
          <w:b/>
          <w:bCs/>
        </w:rPr>
        <w:t>semantic alignment</w:t>
      </w:r>
      <w:r w:rsidRPr="00140499">
        <w:rPr>
          <w:rFonts w:cstheme="minorHAnsi"/>
        </w:rPr>
        <w:t xml:space="preserve"> rather than lexical overlap, allowing conceptually identical answers—such as regulatory clauses expressed with different wording—to be recognized as equivalent.</w:t>
      </w:r>
    </w:p>
    <w:p w14:paraId="1C4603B7" w14:textId="77777777" w:rsidR="002E422F" w:rsidRPr="00140499" w:rsidRDefault="002E422F" w:rsidP="002E422F">
      <w:pPr>
        <w:rPr>
          <w:rFonts w:cstheme="minorHAnsi"/>
        </w:rPr>
      </w:pPr>
      <w:r w:rsidRPr="00140499">
        <w:rPr>
          <w:rFonts w:cstheme="minorHAnsi"/>
        </w:rPr>
        <w:t xml:space="preserve">A higher CP value indicates greater factual consistency and semantic coherence between the generated output and the authoritative </w:t>
      </w:r>
      <w:proofErr w:type="gramStart"/>
      <w:r w:rsidRPr="00140499">
        <w:rPr>
          <w:rFonts w:cstheme="minorHAnsi"/>
        </w:rPr>
        <w:t>reference</w:t>
      </w:r>
      <w:r w:rsidRPr="00564111">
        <w:rPr>
          <w:rFonts w:cstheme="minorHAnsi"/>
        </w:rPr>
        <w:t>[</w:t>
      </w:r>
      <w:proofErr w:type="gramEnd"/>
      <w:r w:rsidRPr="00564111">
        <w:rPr>
          <w:rFonts w:cstheme="minorHAnsi"/>
        </w:rPr>
        <w:t>38]</w:t>
      </w:r>
      <w:r w:rsidRPr="00140499">
        <w:rPr>
          <w:rFonts w:cstheme="minorHAnsi"/>
        </w:rPr>
        <w:t>.</w:t>
      </w:r>
    </w:p>
    <w:p w14:paraId="45094D96" w14:textId="77777777" w:rsidR="002E422F" w:rsidRPr="00140499" w:rsidRDefault="002E422F" w:rsidP="002E422F">
      <w:pPr>
        <w:rPr>
          <w:rFonts w:cstheme="minorHAnsi"/>
        </w:rPr>
      </w:pPr>
    </w:p>
    <w:p w14:paraId="10F23F9F" w14:textId="77777777" w:rsidR="002E422F" w:rsidRPr="00140499" w:rsidRDefault="002E422F" w:rsidP="002E422F">
      <w:pPr>
        <w:rPr>
          <w:rFonts w:cstheme="minorHAnsi"/>
          <w:b/>
          <w:bCs/>
        </w:rPr>
      </w:pPr>
      <w:r w:rsidRPr="00140499">
        <w:rPr>
          <w:rFonts w:cstheme="minorHAnsi"/>
          <w:b/>
          <w:bCs/>
        </w:rPr>
        <w:t>3.5.2 Linguistic and Contextual Quality (LLM-as-Judge Score)</w:t>
      </w:r>
    </w:p>
    <w:p w14:paraId="387F7F38" w14:textId="77777777" w:rsidR="002E422F" w:rsidRPr="00140499" w:rsidRDefault="002E422F" w:rsidP="002E422F">
      <w:pPr>
        <w:rPr>
          <w:rFonts w:cstheme="minorHAnsi"/>
        </w:rPr>
      </w:pPr>
      <w:r w:rsidRPr="00140499">
        <w:rPr>
          <w:rFonts w:cstheme="minorHAnsi"/>
        </w:rPr>
        <w:t xml:space="preserve">To assess the overall linguistic clarity, contextual relevance, and factual adequacy of generated responses, a </w:t>
      </w:r>
      <w:r w:rsidRPr="00140499">
        <w:rPr>
          <w:rFonts w:cstheme="minorHAnsi"/>
          <w:b/>
          <w:bCs/>
        </w:rPr>
        <w:t>Large Language Model (LLM)-as-Judge</w:t>
      </w:r>
      <w:r w:rsidRPr="00140499">
        <w:rPr>
          <w:rFonts w:cstheme="minorHAnsi"/>
        </w:rPr>
        <w:t xml:space="preserve"> approach was employed.</w:t>
      </w:r>
    </w:p>
    <w:p w14:paraId="0E4053A0" w14:textId="77777777" w:rsidR="002E422F" w:rsidRPr="00140499" w:rsidRDefault="002E422F" w:rsidP="002E422F">
      <w:pPr>
        <w:rPr>
          <w:rFonts w:cstheme="minorHAnsi"/>
        </w:rPr>
      </w:pPr>
      <w:r w:rsidRPr="00140499">
        <w:rPr>
          <w:rFonts w:cstheme="minorHAnsi"/>
        </w:rPr>
        <w:t xml:space="preserve">A GPT-based evaluator was prompted to assign a </w:t>
      </w:r>
      <w:r w:rsidRPr="00140499">
        <w:rPr>
          <w:rFonts w:cstheme="minorHAnsi"/>
          <w:b/>
          <w:bCs/>
        </w:rPr>
        <w:t>Quality Score (S</w:t>
      </w:r>
      <w:r w:rsidRPr="00140499">
        <w:rPr>
          <w:rFonts w:ascii="Cambria Math" w:hAnsi="Cambria Math" w:cs="Cambria Math"/>
          <w:b/>
          <w:bCs/>
        </w:rPr>
        <w:t>ₗ</w:t>
      </w:r>
      <w:r w:rsidRPr="00140499">
        <w:rPr>
          <w:rFonts w:cstheme="minorHAnsi"/>
          <w:b/>
          <w:bCs/>
        </w:rPr>
        <w:t>)</w:t>
      </w:r>
      <w:r w:rsidRPr="00140499">
        <w:rPr>
          <w:rFonts w:cstheme="minorHAnsi"/>
        </w:rPr>
        <w:t xml:space="preserve"> on a scale from 1 to 10, based on four dimensions:</w:t>
      </w:r>
    </w:p>
    <w:p w14:paraId="54D4D127" w14:textId="77777777" w:rsidR="002E422F" w:rsidRPr="00140499" w:rsidRDefault="002E422F" w:rsidP="002E422F">
      <w:pPr>
        <w:numPr>
          <w:ilvl w:val="0"/>
          <w:numId w:val="2"/>
        </w:numPr>
        <w:rPr>
          <w:rFonts w:cstheme="minorHAnsi"/>
        </w:rPr>
      </w:pPr>
      <w:r w:rsidRPr="00140499">
        <w:rPr>
          <w:rFonts w:cstheme="minorHAnsi"/>
          <w:b/>
          <w:bCs/>
        </w:rPr>
        <w:t>Accuracy</w:t>
      </w:r>
      <w:r w:rsidRPr="00140499">
        <w:rPr>
          <w:rFonts w:cstheme="minorHAnsi"/>
        </w:rPr>
        <w:t xml:space="preserve"> — factual correctness with respect to the regulatory </w:t>
      </w:r>
      <w:proofErr w:type="gramStart"/>
      <w:r w:rsidRPr="00140499">
        <w:rPr>
          <w:rFonts w:cstheme="minorHAnsi"/>
        </w:rPr>
        <w:t>clause;</w:t>
      </w:r>
      <w:proofErr w:type="gramEnd"/>
    </w:p>
    <w:p w14:paraId="0368AF92" w14:textId="77777777" w:rsidR="002E422F" w:rsidRPr="00140499" w:rsidRDefault="002E422F" w:rsidP="002E422F">
      <w:pPr>
        <w:numPr>
          <w:ilvl w:val="0"/>
          <w:numId w:val="2"/>
        </w:numPr>
        <w:rPr>
          <w:rFonts w:cstheme="minorHAnsi"/>
        </w:rPr>
      </w:pPr>
      <w:r w:rsidRPr="00140499">
        <w:rPr>
          <w:rFonts w:cstheme="minorHAnsi"/>
        </w:rPr>
        <w:t>R</w:t>
      </w:r>
      <w:r w:rsidRPr="00140499">
        <w:rPr>
          <w:rFonts w:eastAsia="Times New Roman" w:cstheme="minorHAnsi"/>
          <w:b/>
          <w:bCs/>
          <w:sz w:val="24"/>
          <w:szCs w:val="24"/>
          <w:lang w:eastAsia="en-GB"/>
        </w:rPr>
        <w:t>elevance</w:t>
      </w:r>
      <w:r w:rsidRPr="00140499">
        <w:rPr>
          <w:rFonts w:eastAsia="Times New Roman" w:cstheme="minorHAnsi"/>
          <w:sz w:val="24"/>
          <w:szCs w:val="24"/>
          <w:lang w:eastAsia="en-GB"/>
        </w:rPr>
        <w:t xml:space="preserve"> — alignment with the user query and retrieved </w:t>
      </w:r>
      <w:proofErr w:type="gramStart"/>
      <w:r w:rsidRPr="00140499">
        <w:rPr>
          <w:rFonts w:eastAsia="Times New Roman" w:cstheme="minorHAnsi"/>
          <w:sz w:val="24"/>
          <w:szCs w:val="24"/>
          <w:lang w:eastAsia="en-GB"/>
        </w:rPr>
        <w:t>content;</w:t>
      </w:r>
      <w:proofErr w:type="gramEnd"/>
    </w:p>
    <w:p w14:paraId="622424D1" w14:textId="77777777" w:rsidR="002E422F" w:rsidRPr="00140499" w:rsidRDefault="002E422F" w:rsidP="002E422F">
      <w:pPr>
        <w:numPr>
          <w:ilvl w:val="0"/>
          <w:numId w:val="2"/>
        </w:numPr>
        <w:rPr>
          <w:rFonts w:cstheme="minorHAnsi"/>
        </w:rPr>
      </w:pPr>
      <w:r w:rsidRPr="00140499">
        <w:rPr>
          <w:rFonts w:cstheme="minorHAnsi"/>
        </w:rPr>
        <w:t>C</w:t>
      </w:r>
      <w:r w:rsidRPr="00140499">
        <w:rPr>
          <w:rFonts w:eastAsia="Times New Roman" w:cstheme="minorHAnsi"/>
          <w:b/>
          <w:bCs/>
          <w:sz w:val="24"/>
          <w:szCs w:val="24"/>
          <w:lang w:eastAsia="en-GB"/>
        </w:rPr>
        <w:t>onciseness</w:t>
      </w:r>
      <w:r w:rsidRPr="00140499">
        <w:rPr>
          <w:rFonts w:eastAsia="Times New Roman" w:cstheme="minorHAnsi"/>
          <w:sz w:val="24"/>
          <w:szCs w:val="24"/>
          <w:lang w:eastAsia="en-GB"/>
        </w:rPr>
        <w:t xml:space="preserve">— avoidance of redundancy and irrelevant </w:t>
      </w:r>
      <w:proofErr w:type="gramStart"/>
      <w:r w:rsidRPr="00140499">
        <w:rPr>
          <w:rFonts w:eastAsia="Times New Roman" w:cstheme="minorHAnsi"/>
          <w:sz w:val="24"/>
          <w:szCs w:val="24"/>
          <w:lang w:eastAsia="en-GB"/>
        </w:rPr>
        <w:t>elaboration;</w:t>
      </w:r>
      <w:proofErr w:type="gramEnd"/>
    </w:p>
    <w:p w14:paraId="1FA54948" w14:textId="77777777" w:rsidR="002E422F" w:rsidRPr="00140499" w:rsidRDefault="002E422F" w:rsidP="002E422F">
      <w:pPr>
        <w:numPr>
          <w:ilvl w:val="0"/>
          <w:numId w:val="2"/>
        </w:numPr>
        <w:spacing w:before="100" w:beforeAutospacing="1" w:after="100" w:afterAutospacing="1" w:line="240" w:lineRule="auto"/>
        <w:rPr>
          <w:rFonts w:eastAsia="Times New Roman" w:cstheme="minorHAnsi"/>
          <w:sz w:val="24"/>
          <w:szCs w:val="24"/>
          <w:lang w:eastAsia="en-GB"/>
        </w:rPr>
      </w:pPr>
      <w:r w:rsidRPr="00140499">
        <w:rPr>
          <w:rFonts w:eastAsia="Times New Roman" w:cstheme="minorHAnsi"/>
          <w:b/>
          <w:bCs/>
          <w:sz w:val="24"/>
          <w:szCs w:val="24"/>
          <w:lang w:eastAsia="en-GB"/>
        </w:rPr>
        <w:t>Faithfulness</w:t>
      </w:r>
      <w:r w:rsidRPr="00140499">
        <w:rPr>
          <w:rFonts w:eastAsia="Times New Roman" w:cstheme="minorHAnsi"/>
          <w:sz w:val="24"/>
          <w:szCs w:val="24"/>
          <w:lang w:eastAsia="en-GB"/>
        </w:rPr>
        <w:t xml:space="preserve"> — adherence to retrieved information and context.</w:t>
      </w:r>
    </w:p>
    <w:p w14:paraId="22F92374" w14:textId="77777777" w:rsidR="002E422F" w:rsidRPr="00140499" w:rsidRDefault="002E422F" w:rsidP="002E422F">
      <w:pPr>
        <w:spacing w:before="100" w:beforeAutospacing="1" w:after="100" w:afterAutospacing="1" w:line="240" w:lineRule="auto"/>
        <w:rPr>
          <w:rFonts w:cstheme="minorHAnsi"/>
        </w:rPr>
      </w:pPr>
      <w:r w:rsidRPr="00140499">
        <w:rPr>
          <w:rFonts w:cstheme="minorHAnsi"/>
        </w:rPr>
        <w:t xml:space="preserve">The LLM-as-Judge framework provides a scalable approximation of human expert evaluation and demonstrates strong correlation with human assessment in RAG-related </w:t>
      </w:r>
      <w:proofErr w:type="gramStart"/>
      <w:r w:rsidRPr="00140499">
        <w:rPr>
          <w:rFonts w:cstheme="minorHAnsi"/>
        </w:rPr>
        <w:t>studies</w:t>
      </w:r>
      <w:r w:rsidRPr="00564111">
        <w:rPr>
          <w:rFonts w:cstheme="minorHAnsi"/>
        </w:rPr>
        <w:t>[</w:t>
      </w:r>
      <w:proofErr w:type="gramEnd"/>
      <w:r w:rsidRPr="00564111">
        <w:rPr>
          <w:rFonts w:cstheme="minorHAnsi"/>
        </w:rPr>
        <w:t>39]</w:t>
      </w:r>
      <w:r w:rsidRPr="00140499">
        <w:rPr>
          <w:rFonts w:cstheme="minorHAnsi"/>
        </w:rPr>
        <w:t>.</w:t>
      </w:r>
    </w:p>
    <w:p w14:paraId="4AD1D9E1" w14:textId="77777777" w:rsidR="002E422F" w:rsidRPr="00140499" w:rsidRDefault="002E422F" w:rsidP="002E422F">
      <w:pPr>
        <w:spacing w:before="100" w:beforeAutospacing="1" w:after="100" w:afterAutospacing="1" w:line="240" w:lineRule="auto"/>
        <w:rPr>
          <w:rFonts w:cstheme="minorHAnsi"/>
        </w:rPr>
      </w:pPr>
      <w:r w:rsidRPr="00140499">
        <w:rPr>
          <w:rFonts w:cstheme="minorHAnsi"/>
        </w:rPr>
        <w:t>Formally, the average linguistic quality score is computed as:</w:t>
      </w:r>
    </w:p>
    <w:p w14:paraId="6FA0642D" w14:textId="77777777" w:rsidR="002E422F" w:rsidRDefault="00000000" w:rsidP="002E422F">
      <w:pPr>
        <w:spacing w:before="100" w:beforeAutospacing="1" w:after="100" w:afterAutospacing="1" w:line="240" w:lineRule="auto"/>
        <w:rPr>
          <w:rFonts w:ascii="Cambria Math" w:eastAsiaTheme="minorEastAsia" w:hAnsi="Cambria Math"/>
          <w:rtl/>
        </w:rPr>
      </w:pPr>
      <m:oMathPara>
        <m:oMath>
          <m:sSub>
            <m:sSubPr>
              <m:ctrlPr>
                <w:rPr>
                  <w:rFonts w:ascii="Cambria Math" w:hAnsi="Cambria Math"/>
                  <w:i/>
                </w:rPr>
              </m:ctrlPr>
            </m:sSubPr>
            <m:e>
              <m:r>
                <w:rPr>
                  <w:rFonts w:ascii="Cambria Math" w:hAnsi="Cambria Math"/>
                </w:rPr>
                <m:t>S</m:t>
              </m:r>
            </m:e>
            <m:sub>
              <m:r>
                <w:rPr>
                  <w:rFonts w:ascii="Cambria Math" w:hAnsi="Cambria Math"/>
                </w:rPr>
                <m:t>l</m:t>
              </m:r>
            </m:sub>
          </m:sSub>
          <m:r>
            <w:rPr>
              <w:rFonts w:ascii="Cambria Math" w:hAnsi="Cambria Math"/>
            </w:rPr>
            <m:t>=</m:t>
          </m:r>
          <m:nary>
            <m:naryPr>
              <m:chr m:val="∑"/>
              <m:supHide m:val="1"/>
              <m:ctrlPr>
                <w:rPr>
                  <w:rFonts w:ascii="Cambria Math" w:hAnsi="Cambria Math"/>
                  <w:i/>
                </w:rPr>
              </m:ctrlPr>
            </m:naryPr>
            <m:sub>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i=1</m:t>
                      </m:r>
                    </m:e>
                  </m:d>
                </m:e>
                <m:sub>
                  <m:r>
                    <w:rPr>
                      <w:rFonts w:ascii="Cambria Math" w:hAnsi="Cambria Math"/>
                    </w:rPr>
                    <m:t>i</m:t>
                  </m:r>
                </m:sub>
                <m:sup>
                  <m:d>
                    <m:dPr>
                      <m:begChr m:val="{"/>
                      <m:endChr m:val="}"/>
                      <m:ctrlPr>
                        <w:rPr>
                          <w:rFonts w:ascii="Cambria Math" w:hAnsi="Cambria Math"/>
                          <w:i/>
                        </w:rPr>
                      </m:ctrlPr>
                    </m:dPr>
                    <m:e>
                      <m:r>
                        <w:rPr>
                          <w:rFonts w:ascii="Cambria Math" w:hAnsi="Cambria Math"/>
                        </w:rPr>
                        <m:t>N</m:t>
                      </m:r>
                    </m:e>
                  </m:d>
                  <m:r>
                    <w:rPr>
                      <w:rFonts w:ascii="Cambria Math" w:hAnsi="Cambria Math"/>
                    </w:rPr>
                    <m:t>s</m:t>
                  </m:r>
                </m:sup>
              </m:sSubSup>
            </m:sub>
            <m:sup/>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N</m:t>
                      </m:r>
                    </m:den>
                  </m:f>
                </m:e>
              </m:d>
            </m:e>
          </m:nary>
        </m:oMath>
      </m:oMathPara>
    </w:p>
    <w:p w14:paraId="77301193" w14:textId="77777777" w:rsidR="002E422F" w:rsidRPr="00140499" w:rsidRDefault="002E422F" w:rsidP="002E422F">
      <w:pPr>
        <w:spacing w:before="100" w:beforeAutospacing="1" w:after="100" w:afterAutospacing="1" w:line="240" w:lineRule="auto"/>
        <w:rPr>
          <w:rFonts w:cstheme="minorHAnsi"/>
        </w:rPr>
      </w:pPr>
      <w:r w:rsidRPr="00140499">
        <w:rPr>
          <w:rFonts w:cstheme="minorHAnsi"/>
        </w:rPr>
        <w:t xml:space="preserve">where </w:t>
      </w:r>
      <m:oMath>
        <m:sSub>
          <m:sSubPr>
            <m:ctrlPr>
              <w:rPr>
                <w:rFonts w:ascii="Cambria Math" w:hAnsi="Cambria Math" w:cstheme="minorHAnsi"/>
              </w:rPr>
            </m:ctrlPr>
          </m:sSubPr>
          <m:e>
            <m:r>
              <w:rPr>
                <w:rFonts w:ascii="Cambria Math" w:hAnsi="Cambria Math" w:cstheme="minorHAnsi"/>
              </w:rPr>
              <m:t>s</m:t>
            </m:r>
          </m:e>
          <m:sub>
            <m:r>
              <w:rPr>
                <w:rFonts w:ascii="Cambria Math" w:hAnsi="Cambria Math" w:cstheme="minorHAnsi"/>
              </w:rPr>
              <m:t>i</m:t>
            </m:r>
          </m:sub>
        </m:sSub>
      </m:oMath>
      <w:r w:rsidRPr="00140499">
        <w:rPr>
          <w:rFonts w:cstheme="minorHAnsi"/>
        </w:rPr>
        <w:t xml:space="preserve">is the score assigned by the evaluator to the </w:t>
      </w:r>
      <w:proofErr w:type="spellStart"/>
      <w:r w:rsidRPr="00140499">
        <w:rPr>
          <w:rFonts w:cstheme="minorHAnsi"/>
          <w:i/>
          <w:iCs/>
        </w:rPr>
        <w:t>i</w:t>
      </w:r>
      <w:r w:rsidRPr="00140499">
        <w:rPr>
          <w:rFonts w:cstheme="minorHAnsi"/>
        </w:rPr>
        <w:t>-th</w:t>
      </w:r>
      <w:proofErr w:type="spellEnd"/>
      <w:r w:rsidRPr="00140499">
        <w:rPr>
          <w:rFonts w:cstheme="minorHAnsi"/>
        </w:rPr>
        <w:t xml:space="preserve"> generated answer.</w:t>
      </w:r>
    </w:p>
    <w:p w14:paraId="0A1F1EBB" w14:textId="77777777" w:rsidR="002E422F" w:rsidRPr="00140499" w:rsidRDefault="002E422F" w:rsidP="002E422F">
      <w:pPr>
        <w:spacing w:before="100" w:beforeAutospacing="1" w:after="100" w:afterAutospacing="1" w:line="240" w:lineRule="auto"/>
        <w:rPr>
          <w:rFonts w:cstheme="minorHAnsi"/>
        </w:rPr>
      </w:pPr>
    </w:p>
    <w:p w14:paraId="66EA95D1" w14:textId="77777777" w:rsidR="002E422F" w:rsidRPr="00140499" w:rsidRDefault="002E422F" w:rsidP="002E422F">
      <w:pPr>
        <w:spacing w:before="100" w:beforeAutospacing="1" w:after="100" w:afterAutospacing="1" w:line="240" w:lineRule="auto"/>
        <w:rPr>
          <w:rFonts w:cstheme="minorHAnsi"/>
          <w:b/>
          <w:bCs/>
        </w:rPr>
      </w:pPr>
      <w:r w:rsidRPr="00140499">
        <w:rPr>
          <w:rFonts w:cstheme="minorHAnsi"/>
          <w:b/>
          <w:bCs/>
        </w:rPr>
        <w:t>3.5.3 Computational Efficiency (Latency and Accuracy per Second)</w:t>
      </w:r>
    </w:p>
    <w:p w14:paraId="5082615F" w14:textId="77777777" w:rsidR="002E422F" w:rsidRPr="00140499" w:rsidRDefault="002E422F" w:rsidP="002E422F">
      <w:pPr>
        <w:spacing w:before="100" w:beforeAutospacing="1" w:after="100" w:afterAutospacing="1" w:line="240" w:lineRule="auto"/>
        <w:rPr>
          <w:rFonts w:cstheme="minorHAnsi"/>
        </w:rPr>
      </w:pPr>
      <w:r w:rsidRPr="00140499">
        <w:rPr>
          <w:rFonts w:cstheme="minorHAnsi"/>
        </w:rPr>
        <w:t xml:space="preserve">System efficiency was evaluated using two complementary indicators: </w:t>
      </w:r>
      <w:r w:rsidRPr="00140499">
        <w:rPr>
          <w:rFonts w:cstheme="minorHAnsi"/>
          <w:b/>
          <w:bCs/>
        </w:rPr>
        <w:t>Latency (L)</w:t>
      </w:r>
      <w:r w:rsidRPr="00140499">
        <w:rPr>
          <w:rFonts w:cstheme="minorHAnsi"/>
        </w:rPr>
        <w:t xml:space="preserve"> and </w:t>
      </w:r>
      <w:r w:rsidRPr="00140499">
        <w:rPr>
          <w:rFonts w:cstheme="minorHAnsi"/>
          <w:b/>
          <w:bCs/>
        </w:rPr>
        <w:t>Accuracy per Second (APS)</w:t>
      </w:r>
      <w:r w:rsidRPr="00140499">
        <w:rPr>
          <w:rFonts w:cstheme="minorHAnsi"/>
        </w:rPr>
        <w:t>.</w:t>
      </w:r>
    </w:p>
    <w:p w14:paraId="02055341" w14:textId="21578CDA" w:rsidR="009726FA" w:rsidRPr="00140499" w:rsidRDefault="002E422F" w:rsidP="009726FA">
      <w:pPr>
        <w:spacing w:before="100" w:beforeAutospacing="1" w:after="100" w:afterAutospacing="1" w:line="240" w:lineRule="auto"/>
        <w:rPr>
          <w:rFonts w:cstheme="minorHAnsi"/>
        </w:rPr>
      </w:pPr>
      <w:r w:rsidRPr="00140499">
        <w:rPr>
          <w:rFonts w:cstheme="minorHAnsi"/>
        </w:rPr>
        <w:lastRenderedPageBreak/>
        <w:t>Latency quantifies the average time required for retrieval and generation per query:</w:t>
      </w:r>
    </w:p>
    <w:p w14:paraId="4C935199" w14:textId="68A4E988" w:rsidR="009726FA" w:rsidRPr="009726FA" w:rsidRDefault="009726FA" w:rsidP="002E422F">
      <w:pPr>
        <w:spacing w:before="100" w:beforeAutospacing="1" w:after="100" w:afterAutospacing="1" w:line="240" w:lineRule="auto"/>
        <w:rPr>
          <w:rFonts w:eastAsiaTheme="minorEastAsia" w:cstheme="minorHAnsi"/>
          <w:rtl/>
          <w:lang w:bidi="fa-IR"/>
        </w:rPr>
      </w:pPr>
      <m:oMathPara>
        <m:oMath>
          <m:r>
            <w:rPr>
              <w:rFonts w:ascii="Cambria Math" w:eastAsiaTheme="minorEastAsia" w:hAnsi="Cambria Math" w:cstheme="minorHAnsi"/>
              <w:lang w:bidi="fa-IR"/>
            </w:rPr>
            <m:t>L=</m:t>
          </m:r>
          <m:f>
            <m:fPr>
              <m:ctrlPr>
                <w:rPr>
                  <w:rFonts w:ascii="Cambria Math" w:eastAsiaTheme="minorEastAsia" w:hAnsi="Cambria Math" w:cstheme="minorHAnsi"/>
                  <w:lang w:bidi="fa-IR"/>
                </w:rPr>
              </m:ctrlPr>
            </m:fPr>
            <m:num>
              <m:nary>
                <m:naryPr>
                  <m:chr m:val="∑"/>
                  <m:ctrlPr>
                    <w:rPr>
                      <w:rFonts w:ascii="Cambria Math" w:eastAsiaTheme="minorEastAsia" w:hAnsi="Cambria Math" w:cstheme="minorHAnsi"/>
                      <w:lang w:bidi="fa-IR"/>
                    </w:rPr>
                  </m:ctrlPr>
                </m:naryPr>
                <m:sub>
                  <m:r>
                    <w:rPr>
                      <w:rFonts w:ascii="Cambria Math" w:eastAsiaTheme="minorEastAsia" w:hAnsi="Cambria Math" w:cstheme="minorHAnsi"/>
                      <w:lang w:bidi="fa-IR"/>
                    </w:rPr>
                    <m:t>i=1</m:t>
                  </m:r>
                  <m:ctrlPr>
                    <w:rPr>
                      <w:rFonts w:ascii="Cambria Math" w:eastAsiaTheme="minorEastAsia" w:hAnsi="Cambria Math" w:cstheme="minorHAnsi"/>
                      <w:i/>
                      <w:lang w:bidi="fa-IR"/>
                    </w:rPr>
                  </m:ctrlPr>
                </m:sub>
                <m:sup>
                  <m:r>
                    <w:rPr>
                      <w:rFonts w:ascii="Cambria Math" w:eastAsiaTheme="minorEastAsia" w:hAnsi="Cambria Math" w:cstheme="minorHAnsi"/>
                      <w:lang w:bidi="fa-IR"/>
                    </w:rPr>
                    <m:t>N</m:t>
                  </m:r>
                  <m:ctrlPr>
                    <w:rPr>
                      <w:rFonts w:ascii="Cambria Math" w:eastAsiaTheme="minorEastAsia" w:hAnsi="Cambria Math" w:cstheme="minorHAnsi"/>
                      <w:i/>
                      <w:lang w:bidi="fa-IR"/>
                    </w:rPr>
                  </m:ctrlPr>
                </m:sup>
                <m:e>
                  <m:sSub>
                    <m:sSubPr>
                      <m:ctrlPr>
                        <w:rPr>
                          <w:rFonts w:ascii="Cambria Math" w:eastAsiaTheme="minorEastAsia" w:hAnsi="Cambria Math" w:cstheme="minorHAnsi"/>
                          <w:i/>
                          <w:lang w:bidi="fa-IR"/>
                        </w:rPr>
                      </m:ctrlPr>
                    </m:sSubPr>
                    <m:e>
                      <m:r>
                        <w:rPr>
                          <w:rFonts w:ascii="Cambria Math" w:eastAsiaTheme="minorEastAsia" w:hAnsi="Cambria Math" w:cstheme="minorHAnsi"/>
                          <w:lang w:bidi="fa-IR"/>
                        </w:rPr>
                        <m:t>t</m:t>
                      </m:r>
                    </m:e>
                    <m:sub>
                      <m:r>
                        <w:rPr>
                          <w:rFonts w:ascii="Cambria Math" w:eastAsiaTheme="minorEastAsia" w:hAnsi="Cambria Math" w:cstheme="minorHAnsi"/>
                          <w:lang w:bidi="fa-IR"/>
                        </w:rPr>
                        <m:t>i</m:t>
                      </m:r>
                    </m:sub>
                  </m:sSub>
                  <m:ctrlPr>
                    <w:rPr>
                      <w:rFonts w:ascii="Cambria Math" w:eastAsiaTheme="minorEastAsia" w:hAnsi="Cambria Math" w:cstheme="minorHAnsi"/>
                      <w:i/>
                      <w:lang w:bidi="fa-IR"/>
                    </w:rPr>
                  </m:ctrlPr>
                </m:e>
              </m:nary>
              <m:ctrlPr>
                <w:rPr>
                  <w:rFonts w:ascii="Cambria Math" w:eastAsiaTheme="minorEastAsia" w:hAnsi="Cambria Math" w:cstheme="minorHAnsi"/>
                  <w:i/>
                  <w:lang w:bidi="fa-IR"/>
                </w:rPr>
              </m:ctrlPr>
            </m:num>
            <m:den>
              <m:r>
                <w:rPr>
                  <w:rFonts w:ascii="Cambria Math" w:eastAsiaTheme="minorEastAsia" w:hAnsi="Cambria Math" w:cstheme="minorHAnsi"/>
                  <w:lang w:bidi="fa-IR"/>
                </w:rPr>
                <m:t>N</m:t>
              </m:r>
              <m:ctrlPr>
                <w:rPr>
                  <w:rFonts w:ascii="Cambria Math" w:eastAsiaTheme="minorEastAsia" w:hAnsi="Cambria Math" w:cstheme="minorHAnsi"/>
                  <w:i/>
                  <w:lang w:bidi="fa-IR"/>
                </w:rPr>
              </m:ctrlPr>
            </m:den>
          </m:f>
        </m:oMath>
      </m:oMathPara>
    </w:p>
    <w:p w14:paraId="35380331" w14:textId="1DF7F589" w:rsidR="002E422F" w:rsidRPr="00140499" w:rsidRDefault="002E422F" w:rsidP="002E422F">
      <w:pPr>
        <w:spacing w:before="100" w:beforeAutospacing="1" w:after="100" w:afterAutospacing="1" w:line="240" w:lineRule="auto"/>
        <w:rPr>
          <w:rFonts w:eastAsiaTheme="minorEastAsia" w:cstheme="minorHAnsi"/>
          <w:rtl/>
          <w:lang w:bidi="fa-IR"/>
        </w:rPr>
      </w:pPr>
      <w:r w:rsidRPr="00140499">
        <w:rPr>
          <w:rFonts w:eastAsiaTheme="minorEastAsia" w:cstheme="minorHAnsi"/>
          <w:lang w:bidi="fa-IR"/>
        </w:rPr>
        <w:t xml:space="preserve">where </w:t>
      </w:r>
      <m:oMath>
        <m:sSub>
          <m:sSubPr>
            <m:ctrlPr>
              <w:rPr>
                <w:rFonts w:ascii="Cambria Math" w:eastAsiaTheme="minorEastAsia" w:hAnsi="Cambria Math" w:cstheme="minorHAnsi"/>
                <w:lang w:bidi="fa-IR"/>
              </w:rPr>
            </m:ctrlPr>
          </m:sSubPr>
          <m:e>
            <m:r>
              <w:rPr>
                <w:rFonts w:ascii="Cambria Math" w:eastAsiaTheme="minorEastAsia" w:hAnsi="Cambria Math" w:cstheme="minorHAnsi"/>
                <w:lang w:bidi="fa-IR"/>
              </w:rPr>
              <m:t>t</m:t>
            </m:r>
          </m:e>
          <m:sub>
            <m:r>
              <w:rPr>
                <w:rFonts w:ascii="Cambria Math" w:eastAsiaTheme="minorEastAsia" w:hAnsi="Cambria Math" w:cstheme="minorHAnsi"/>
                <w:lang w:bidi="fa-IR"/>
              </w:rPr>
              <m:t>i</m:t>
            </m:r>
          </m:sub>
        </m:sSub>
      </m:oMath>
      <w:r w:rsidRPr="00140499">
        <w:rPr>
          <w:rFonts w:eastAsiaTheme="minorEastAsia" w:cstheme="minorHAnsi"/>
          <w:lang w:bidi="fa-IR"/>
        </w:rPr>
        <w:t xml:space="preserve">represents the total response time for query </w:t>
      </w:r>
      <w:proofErr w:type="spellStart"/>
      <w:r w:rsidRPr="00140499">
        <w:rPr>
          <w:rFonts w:eastAsiaTheme="minorEastAsia" w:cstheme="minorHAnsi"/>
          <w:i/>
          <w:iCs/>
          <w:lang w:bidi="fa-IR"/>
        </w:rPr>
        <w:t>i</w:t>
      </w:r>
      <w:proofErr w:type="spellEnd"/>
      <w:r w:rsidRPr="00140499">
        <w:rPr>
          <w:rFonts w:eastAsiaTheme="minorEastAsia" w:cstheme="minorHAnsi"/>
          <w:lang w:bidi="fa-IR"/>
        </w:rPr>
        <w:t>.</w:t>
      </w:r>
    </w:p>
    <w:p w14:paraId="40DF3130" w14:textId="77777777" w:rsidR="002E422F" w:rsidRPr="00140499" w:rsidRDefault="002E422F" w:rsidP="002E422F">
      <w:pPr>
        <w:spacing w:before="100" w:beforeAutospacing="1" w:after="100" w:afterAutospacing="1" w:line="240" w:lineRule="auto"/>
        <w:rPr>
          <w:rFonts w:eastAsiaTheme="minorEastAsia" w:cstheme="minorHAnsi"/>
          <w:lang w:bidi="fa-IR"/>
        </w:rPr>
      </w:pPr>
      <w:r w:rsidRPr="00140499">
        <w:rPr>
          <w:rFonts w:eastAsiaTheme="minorEastAsia" w:cstheme="minorHAnsi"/>
          <w:lang w:bidi="fa-IR"/>
        </w:rPr>
        <w:t>To balance accuracy with computational cost, an integrated efficiency metric was introduced:</w:t>
      </w:r>
    </w:p>
    <w:p w14:paraId="28033787" w14:textId="46FCB112" w:rsidR="009726FA" w:rsidRPr="009726FA" w:rsidRDefault="009726FA" w:rsidP="002E422F">
      <w:pPr>
        <w:spacing w:before="100" w:beforeAutospacing="1" w:after="100" w:afterAutospacing="1" w:line="240" w:lineRule="auto"/>
        <w:rPr>
          <w:rFonts w:eastAsiaTheme="minorEastAsia" w:cstheme="minorHAnsi"/>
          <w:rtl/>
          <w:lang w:bidi="fa-IR"/>
        </w:rPr>
      </w:pPr>
      <m:oMathPara>
        <m:oMath>
          <m:r>
            <w:rPr>
              <w:rFonts w:ascii="Cambria Math" w:eastAsiaTheme="minorEastAsia" w:hAnsi="Cambria Math" w:cstheme="minorHAnsi"/>
              <w:lang w:bidi="fa-IR"/>
            </w:rPr>
            <m:t>APS=</m:t>
          </m:r>
          <m:f>
            <m:fPr>
              <m:ctrlPr>
                <w:rPr>
                  <w:rFonts w:ascii="Cambria Math" w:eastAsiaTheme="minorEastAsia" w:hAnsi="Cambria Math" w:cstheme="minorHAnsi"/>
                  <w:lang w:bidi="fa-IR"/>
                </w:rPr>
              </m:ctrlPr>
            </m:fPr>
            <m:num>
              <m:r>
                <w:rPr>
                  <w:rFonts w:ascii="Cambria Math" w:eastAsiaTheme="minorEastAsia" w:hAnsi="Cambria Math" w:cstheme="minorHAnsi"/>
                  <w:lang w:bidi="fa-IR"/>
                </w:rPr>
                <m:t>CP</m:t>
              </m:r>
              <m:ctrlPr>
                <w:rPr>
                  <w:rFonts w:ascii="Cambria Math" w:eastAsiaTheme="minorEastAsia" w:hAnsi="Cambria Math" w:cstheme="minorHAnsi"/>
                  <w:i/>
                  <w:lang w:bidi="fa-IR"/>
                </w:rPr>
              </m:ctrlPr>
            </m:num>
            <m:den>
              <m:r>
                <w:rPr>
                  <w:rFonts w:ascii="Cambria Math" w:eastAsiaTheme="minorEastAsia" w:hAnsi="Cambria Math" w:cstheme="minorHAnsi"/>
                  <w:lang w:bidi="fa-IR"/>
                </w:rPr>
                <m:t>L</m:t>
              </m:r>
              <m:ctrlPr>
                <w:rPr>
                  <w:rFonts w:ascii="Cambria Math" w:eastAsiaTheme="minorEastAsia" w:hAnsi="Cambria Math" w:cstheme="minorHAnsi"/>
                  <w:i/>
                  <w:lang w:bidi="fa-IR"/>
                </w:rPr>
              </m:ctrlPr>
            </m:den>
          </m:f>
        </m:oMath>
      </m:oMathPara>
    </w:p>
    <w:p w14:paraId="300A31DD" w14:textId="77777777" w:rsidR="002E422F" w:rsidRPr="00140499" w:rsidRDefault="002E422F" w:rsidP="002E422F">
      <w:pPr>
        <w:spacing w:before="100" w:beforeAutospacing="1" w:after="100" w:afterAutospacing="1" w:line="240" w:lineRule="auto"/>
        <w:rPr>
          <w:rFonts w:cstheme="minorHAnsi"/>
          <w:lang w:bidi="fa-IR"/>
        </w:rPr>
      </w:pPr>
      <w:r w:rsidRPr="00140499">
        <w:rPr>
          <w:rFonts w:cstheme="minorHAnsi"/>
          <w:lang w:bidi="fa-IR"/>
        </w:rPr>
        <w:t xml:space="preserve">This ratio reflects the </w:t>
      </w:r>
      <w:r w:rsidRPr="00140499">
        <w:rPr>
          <w:rFonts w:cstheme="minorHAnsi"/>
          <w:b/>
          <w:bCs/>
          <w:lang w:bidi="fa-IR"/>
        </w:rPr>
        <w:t>semantic precision achieved per second</w:t>
      </w:r>
      <w:r w:rsidRPr="00140499">
        <w:rPr>
          <w:rFonts w:cstheme="minorHAnsi"/>
          <w:lang w:bidi="fa-IR"/>
        </w:rPr>
        <w:t xml:space="preserve">, combining accuracy and computational efficiency into a single interpretable </w:t>
      </w:r>
      <w:proofErr w:type="gramStart"/>
      <w:r w:rsidRPr="00140499">
        <w:rPr>
          <w:rFonts w:cstheme="minorHAnsi"/>
          <w:lang w:bidi="fa-IR"/>
        </w:rPr>
        <w:t>metric</w:t>
      </w:r>
      <w:r w:rsidRPr="00564111">
        <w:rPr>
          <w:rFonts w:cstheme="minorHAnsi"/>
          <w:lang w:bidi="fa-IR"/>
        </w:rPr>
        <w:t>[</w:t>
      </w:r>
      <w:proofErr w:type="gramEnd"/>
      <w:r w:rsidRPr="00564111">
        <w:rPr>
          <w:rFonts w:cstheme="minorHAnsi"/>
          <w:lang w:bidi="fa-IR"/>
        </w:rPr>
        <w:t>40]</w:t>
      </w:r>
      <w:r w:rsidRPr="00140499">
        <w:rPr>
          <w:rFonts w:cstheme="minorHAnsi"/>
          <w:lang w:bidi="fa-IR"/>
        </w:rPr>
        <w:t>.</w:t>
      </w:r>
      <w:r w:rsidRPr="00140499">
        <w:rPr>
          <w:rFonts w:cstheme="minorHAnsi"/>
          <w:lang w:bidi="fa-IR"/>
        </w:rPr>
        <w:br/>
        <w:t>Higher APS values indicate better balance between performance quality and speed.</w:t>
      </w:r>
    </w:p>
    <w:p w14:paraId="1227B757" w14:textId="77777777" w:rsidR="002E422F" w:rsidRPr="00140499" w:rsidRDefault="002E422F" w:rsidP="002E422F">
      <w:pPr>
        <w:spacing w:before="100" w:beforeAutospacing="1" w:after="100" w:afterAutospacing="1" w:line="240" w:lineRule="auto"/>
        <w:rPr>
          <w:rFonts w:cstheme="minorHAnsi"/>
          <w:lang w:bidi="fa-IR"/>
        </w:rPr>
      </w:pPr>
    </w:p>
    <w:p w14:paraId="18B14618" w14:textId="77777777" w:rsidR="002E422F" w:rsidRPr="00140499" w:rsidRDefault="002E422F" w:rsidP="002E422F">
      <w:pPr>
        <w:spacing w:before="100" w:beforeAutospacing="1" w:after="100" w:afterAutospacing="1" w:line="240" w:lineRule="auto"/>
        <w:rPr>
          <w:rFonts w:cstheme="minorHAnsi"/>
          <w:b/>
          <w:bCs/>
          <w:lang w:bidi="fa-IR"/>
        </w:rPr>
      </w:pPr>
      <w:r w:rsidRPr="00140499">
        <w:rPr>
          <w:rFonts w:cstheme="minorHAnsi"/>
          <w:b/>
          <w:bCs/>
          <w:lang w:bidi="fa-IR"/>
        </w:rPr>
        <w:t>3.5.4 Overall Evaluation Framework</w:t>
      </w:r>
    </w:p>
    <w:p w14:paraId="63DAD71D" w14:textId="77777777" w:rsidR="002E422F" w:rsidRPr="00140499" w:rsidRDefault="002E422F" w:rsidP="002E422F">
      <w:pPr>
        <w:spacing w:before="100" w:beforeAutospacing="1" w:after="100" w:afterAutospacing="1" w:line="240" w:lineRule="auto"/>
        <w:rPr>
          <w:rFonts w:cstheme="minorHAnsi"/>
          <w:lang w:bidi="fa-IR"/>
        </w:rPr>
      </w:pPr>
      <w:r w:rsidRPr="00140499">
        <w:rPr>
          <w:rFonts w:cstheme="minorHAnsi"/>
          <w:lang w:bidi="fa-IR"/>
        </w:rPr>
        <w:t>Together, these metrics—</w:t>
      </w:r>
      <w:r w:rsidRPr="00140499">
        <w:rPr>
          <w:rFonts w:cstheme="minorHAnsi"/>
          <w:b/>
          <w:bCs/>
          <w:lang w:bidi="fa-IR"/>
        </w:rPr>
        <w:t>Context Precision</w:t>
      </w:r>
      <w:r w:rsidRPr="00140499">
        <w:rPr>
          <w:rFonts w:cstheme="minorHAnsi"/>
          <w:lang w:bidi="fa-IR"/>
        </w:rPr>
        <w:t xml:space="preserve">, </w:t>
      </w:r>
      <w:r w:rsidRPr="00140499">
        <w:rPr>
          <w:rFonts w:cstheme="minorHAnsi"/>
          <w:b/>
          <w:bCs/>
          <w:lang w:bidi="fa-IR"/>
        </w:rPr>
        <w:t>LLM-as-Judge Quality Score</w:t>
      </w:r>
      <w:r w:rsidRPr="00140499">
        <w:rPr>
          <w:rFonts w:cstheme="minorHAnsi"/>
          <w:lang w:bidi="fa-IR"/>
        </w:rPr>
        <w:t xml:space="preserve">, and </w:t>
      </w:r>
      <w:r w:rsidRPr="00140499">
        <w:rPr>
          <w:rFonts w:cstheme="minorHAnsi"/>
          <w:b/>
          <w:bCs/>
          <w:lang w:bidi="fa-IR"/>
        </w:rPr>
        <w:t>Accuracy per Second</w:t>
      </w:r>
      <w:r w:rsidRPr="00140499">
        <w:rPr>
          <w:rFonts w:cstheme="minorHAnsi"/>
          <w:lang w:bidi="fa-IR"/>
        </w:rPr>
        <w:t>—provide a comprehensive assessment of RAG performance.</w:t>
      </w:r>
      <w:r w:rsidRPr="00140499">
        <w:rPr>
          <w:rFonts w:cstheme="minorHAnsi"/>
          <w:lang w:bidi="fa-IR"/>
        </w:rPr>
        <w:br/>
        <w:t>They jointly measure:</w:t>
      </w:r>
    </w:p>
    <w:p w14:paraId="5D7B6FEA" w14:textId="77777777" w:rsidR="002E422F" w:rsidRPr="00140499" w:rsidRDefault="002E422F" w:rsidP="002E422F">
      <w:pPr>
        <w:numPr>
          <w:ilvl w:val="0"/>
          <w:numId w:val="3"/>
        </w:numPr>
        <w:spacing w:before="100" w:beforeAutospacing="1" w:after="100" w:afterAutospacing="1" w:line="240" w:lineRule="auto"/>
        <w:rPr>
          <w:rFonts w:cstheme="minorHAnsi"/>
          <w:lang w:bidi="fa-IR"/>
        </w:rPr>
      </w:pPr>
      <w:r w:rsidRPr="00140499">
        <w:rPr>
          <w:rFonts w:cstheme="minorHAnsi"/>
          <w:i/>
          <w:iCs/>
          <w:lang w:bidi="fa-IR"/>
        </w:rPr>
        <w:t>factual accuracy</w:t>
      </w:r>
      <w:r w:rsidRPr="00140499">
        <w:rPr>
          <w:rFonts w:cstheme="minorHAnsi"/>
          <w:lang w:bidi="fa-IR"/>
        </w:rPr>
        <w:t xml:space="preserve"> through semantic similarity (CP),</w:t>
      </w:r>
    </w:p>
    <w:p w14:paraId="638151ED" w14:textId="77777777" w:rsidR="002E422F" w:rsidRPr="00140499" w:rsidRDefault="002E422F" w:rsidP="002E422F">
      <w:pPr>
        <w:numPr>
          <w:ilvl w:val="0"/>
          <w:numId w:val="3"/>
        </w:numPr>
        <w:spacing w:before="100" w:beforeAutospacing="1" w:after="100" w:afterAutospacing="1" w:line="240" w:lineRule="auto"/>
        <w:rPr>
          <w:rFonts w:cstheme="minorHAnsi"/>
          <w:lang w:bidi="fa-IR"/>
        </w:rPr>
      </w:pPr>
      <w:r w:rsidRPr="00140499">
        <w:rPr>
          <w:rFonts w:cstheme="minorHAnsi"/>
          <w:i/>
          <w:iCs/>
          <w:lang w:bidi="fa-IR"/>
        </w:rPr>
        <w:t>linguistic and contextual fidelity</w:t>
      </w:r>
      <w:r w:rsidRPr="00140499">
        <w:rPr>
          <w:rFonts w:cstheme="minorHAnsi"/>
          <w:lang w:bidi="fa-IR"/>
        </w:rPr>
        <w:t xml:space="preserve"> through qualitative scoring (S</w:t>
      </w:r>
      <w:r w:rsidRPr="00140499">
        <w:rPr>
          <w:rFonts w:ascii="Cambria Math" w:hAnsi="Cambria Math" w:cs="Cambria Math"/>
          <w:lang w:bidi="fa-IR"/>
        </w:rPr>
        <w:t>ₗ</w:t>
      </w:r>
      <w:r w:rsidRPr="00140499">
        <w:rPr>
          <w:rFonts w:cstheme="minorHAnsi"/>
          <w:lang w:bidi="fa-IR"/>
        </w:rPr>
        <w:t>), and</w:t>
      </w:r>
    </w:p>
    <w:p w14:paraId="7330DCD7" w14:textId="77777777" w:rsidR="002E422F" w:rsidRPr="00140499" w:rsidRDefault="002E422F" w:rsidP="002E422F">
      <w:pPr>
        <w:numPr>
          <w:ilvl w:val="0"/>
          <w:numId w:val="3"/>
        </w:numPr>
        <w:spacing w:before="100" w:beforeAutospacing="1" w:after="100" w:afterAutospacing="1" w:line="240" w:lineRule="auto"/>
        <w:rPr>
          <w:rFonts w:cstheme="minorHAnsi"/>
          <w:lang w:bidi="fa-IR"/>
        </w:rPr>
      </w:pPr>
      <w:r w:rsidRPr="00140499">
        <w:rPr>
          <w:rFonts w:cstheme="minorHAnsi"/>
          <w:i/>
          <w:iCs/>
          <w:lang w:bidi="fa-IR"/>
        </w:rPr>
        <w:t>operational efficiency</w:t>
      </w:r>
      <w:r w:rsidRPr="00140499">
        <w:rPr>
          <w:rFonts w:cstheme="minorHAnsi"/>
          <w:lang w:bidi="fa-IR"/>
        </w:rPr>
        <w:t xml:space="preserve"> through time-normalized performance (APS).</w:t>
      </w:r>
    </w:p>
    <w:p w14:paraId="34952BF4" w14:textId="77777777" w:rsidR="002E422F" w:rsidRPr="00140499" w:rsidRDefault="002E422F" w:rsidP="002E422F">
      <w:pPr>
        <w:spacing w:before="100" w:beforeAutospacing="1" w:after="100" w:afterAutospacing="1" w:line="240" w:lineRule="auto"/>
        <w:jc w:val="both"/>
        <w:rPr>
          <w:rFonts w:cstheme="minorHAnsi"/>
          <w:lang w:bidi="fa-IR"/>
        </w:rPr>
      </w:pPr>
      <w:r w:rsidRPr="00140499">
        <w:rPr>
          <w:rFonts w:cstheme="minorHAnsi"/>
          <w:lang w:bidi="fa-IR"/>
        </w:rPr>
        <w:t>This tri-metric evaluation ensures that the proposed system not only generates accurate and explainable responses but also maintains the responsiveness required for safety-critical maritime applications.</w:t>
      </w:r>
    </w:p>
    <w:p w14:paraId="59C3EF41" w14:textId="77777777" w:rsidR="00060A3D" w:rsidRDefault="00060A3D" w:rsidP="00060A3D"/>
    <w:p w14:paraId="4CBE729E" w14:textId="77777777" w:rsidR="00C52762" w:rsidRDefault="00C52762" w:rsidP="00C52762">
      <w:pPr>
        <w:jc w:val="center"/>
      </w:pPr>
    </w:p>
    <w:p w14:paraId="414007B7" w14:textId="77777777" w:rsidR="0049558B" w:rsidRPr="00637857" w:rsidRDefault="0049558B" w:rsidP="0049558B">
      <w:pPr>
        <w:rPr>
          <w:b/>
          <w:bCs/>
          <w:sz w:val="28"/>
          <w:szCs w:val="28"/>
        </w:rPr>
      </w:pPr>
      <w:r w:rsidRPr="00637857">
        <w:rPr>
          <w:b/>
          <w:bCs/>
          <w:sz w:val="28"/>
          <w:szCs w:val="28"/>
        </w:rPr>
        <w:t>References:</w:t>
      </w:r>
    </w:p>
    <w:p w14:paraId="5074DC09" w14:textId="77777777" w:rsidR="0049558B" w:rsidRDefault="0049558B" w:rsidP="0049558B">
      <w:r>
        <w:t>[1] Aarnio, M. (2022). Rules and Regulations. In Cruise Ship Handbook (pp. 23–42). Springer, Cham. https://doi.org/10.1007/978-3-031-11629-2_2</w:t>
      </w:r>
    </w:p>
    <w:p w14:paraId="2E2A15F8" w14:textId="77777777" w:rsidR="0049558B" w:rsidRDefault="0049558B" w:rsidP="0049558B">
      <w:r>
        <w:t xml:space="preserve">[2] Vaswani, A. et al. (2017). Attention Is All You Need. </w:t>
      </w:r>
      <w:proofErr w:type="spellStart"/>
      <w:r>
        <w:t>NeurIPS</w:t>
      </w:r>
      <w:proofErr w:type="spellEnd"/>
      <w:r>
        <w:t>. https://doi.org/10.48550/arXiv.1706.03762</w:t>
      </w:r>
    </w:p>
    <w:p w14:paraId="1F9996A0" w14:textId="77777777" w:rsidR="0049558B" w:rsidRDefault="0049558B" w:rsidP="0049558B">
      <w:r>
        <w:t>[3] Ji, Z., Lee, N., Yu, T., et al. (2023). Survey of Hallucination in Large Language Models. ACM Computing Surveys. https://doi.org/10.1145/3571730</w:t>
      </w:r>
    </w:p>
    <w:p w14:paraId="62342F32" w14:textId="77777777" w:rsidR="0049558B" w:rsidRDefault="0049558B" w:rsidP="0049558B">
      <w:r>
        <w:t xml:space="preserve">[4] Lewis, P., Perez, E., </w:t>
      </w:r>
      <w:proofErr w:type="spellStart"/>
      <w:r>
        <w:t>Piktus</w:t>
      </w:r>
      <w:proofErr w:type="spellEnd"/>
      <w:r>
        <w:t xml:space="preserve">, A., et al. (2020). Retrieval-Augmented Generation for Knowledge-Intensive NLP. </w:t>
      </w:r>
      <w:proofErr w:type="spellStart"/>
      <w:r>
        <w:t>NeurIPS</w:t>
      </w:r>
      <w:proofErr w:type="spellEnd"/>
      <w:r>
        <w:t>, 9459–9474. https://arxiv.org/abs/2005.11401</w:t>
      </w:r>
    </w:p>
    <w:p w14:paraId="07037E6A" w14:textId="77777777" w:rsidR="0049558B" w:rsidRDefault="0049558B" w:rsidP="0049558B">
      <w:r>
        <w:t>[5] Gao, Y., Xiong, Y., et al. (2023). Retrieval-Augmented Generation for Large Language Models: A Survey. arXiv:2312.10997. https://arxiv.org/abs/2312.10997</w:t>
      </w:r>
    </w:p>
    <w:p w14:paraId="2C15558B" w14:textId="77777777" w:rsidR="0049558B" w:rsidRDefault="0049558B" w:rsidP="0049558B">
      <w:r>
        <w:lastRenderedPageBreak/>
        <w:t>[6] Siddharth, L., &amp; Luo, J. (2024). Retrieval-Augmented Generation Using Engineering Design Knowledge. Knowledge-Based Systems, 303, 112410. https://doi.org/10.1016/j.knosys.2024.112410</w:t>
      </w:r>
    </w:p>
    <w:p w14:paraId="497F6F57" w14:textId="77777777" w:rsidR="0049558B" w:rsidRDefault="0049558B" w:rsidP="0049558B">
      <w:r>
        <w:t>[7] Suh, S., Kim, D., &amp; Yoon, S. (2023). Document Structure-Aware Retrieval for Complex Technical Standards. Information Processing &amp; Management, 60(6), 103328. https://doi.org/10.1016/j.ipm.2023.103328</w:t>
      </w:r>
    </w:p>
    <w:p w14:paraId="38DF3F23" w14:textId="77777777" w:rsidR="00E10E65" w:rsidRDefault="0049558B" w:rsidP="0049558B">
      <w:r>
        <w:t xml:space="preserve">[8] Zhang, N., Tan, Y., &amp; Fang, L. (2025). Explainable RAG for Regulated Engineering Domains. Engineering Applications of Artificial Intelligence, 137, 108155. </w:t>
      </w:r>
      <w:hyperlink r:id="rId9" w:history="1">
        <w:r w:rsidRPr="002F4BF7">
          <w:rPr>
            <w:rStyle w:val="Hyperlink"/>
          </w:rPr>
          <w:t>https://doi.org/10.1016/j.engappai.2025.108155</w:t>
        </w:r>
      </w:hyperlink>
    </w:p>
    <w:p w14:paraId="6785F615" w14:textId="77777777" w:rsidR="0049558B" w:rsidRDefault="0049558B" w:rsidP="0049558B">
      <w:r>
        <w:t xml:space="preserve">[9] Doshi-Velez, F., &amp; Kim, B. (2017). </w:t>
      </w:r>
      <w:r>
        <w:rPr>
          <w:rStyle w:val="Emphasis"/>
        </w:rPr>
        <w:t>Towards a Rigorous Science of Interpretable Machine Learning.</w:t>
      </w:r>
      <w:r>
        <w:t xml:space="preserve"> </w:t>
      </w:r>
      <w:r>
        <w:rPr>
          <w:rStyle w:val="Emphasis"/>
        </w:rPr>
        <w:t>arXiv:1702.08608.</w:t>
      </w:r>
      <w:r>
        <w:t xml:space="preserve"> https://arxiv.org/abs/1702.08608</w:t>
      </w:r>
    </w:p>
    <w:p w14:paraId="193E71B4" w14:textId="77777777" w:rsidR="0049558B" w:rsidRDefault="00637857" w:rsidP="0049558B">
      <w:r>
        <w:t xml:space="preserve">[10] Devlin, J., Chang, M., Lee, K., &amp; Toutanova, K. (2019). </w:t>
      </w:r>
      <w:r>
        <w:rPr>
          <w:rStyle w:val="Emphasis"/>
        </w:rPr>
        <w:t>BERT: Pre-training of Deep Bidirectional Transformers for Language Understanding.</w:t>
      </w:r>
      <w:r>
        <w:t xml:space="preserve"> </w:t>
      </w:r>
      <w:r>
        <w:rPr>
          <w:rStyle w:val="Emphasis"/>
        </w:rPr>
        <w:t>NAACL-HLT</w:t>
      </w:r>
      <w:r>
        <w:t xml:space="preserve">. </w:t>
      </w:r>
      <w:hyperlink r:id="rId10" w:history="1">
        <w:r w:rsidR="0038624D" w:rsidRPr="00AF3E82">
          <w:rPr>
            <w:rStyle w:val="Hyperlink"/>
          </w:rPr>
          <w:t>https://doi.org/10.48550/arXiv.1810.04805</w:t>
        </w:r>
      </w:hyperlink>
    </w:p>
    <w:p w14:paraId="0B9CB35A" w14:textId="77777777" w:rsidR="0038624D" w:rsidRDefault="0038624D" w:rsidP="0049558B">
      <w:r>
        <w:t xml:space="preserve">[11] Raffel, C., </w:t>
      </w:r>
      <w:proofErr w:type="spellStart"/>
      <w:r>
        <w:t>Shazeer</w:t>
      </w:r>
      <w:proofErr w:type="spellEnd"/>
      <w:r>
        <w:t xml:space="preserve">, N., Roberts, A., et al. (2020). </w:t>
      </w:r>
      <w:r>
        <w:rPr>
          <w:rStyle w:val="Emphasis"/>
        </w:rPr>
        <w:t>Exploring the Limits of Transfer Learning with a Unified Text-to-Text Transformer (T5).</w:t>
      </w:r>
      <w:r>
        <w:t xml:space="preserve"> </w:t>
      </w:r>
      <w:r>
        <w:rPr>
          <w:rStyle w:val="Emphasis"/>
        </w:rPr>
        <w:t>Journal of Machine Learning Research,</w:t>
      </w:r>
      <w:r>
        <w:t xml:space="preserve"> 21(140), 1–67. </w:t>
      </w:r>
      <w:hyperlink r:id="rId11" w:history="1">
        <w:r w:rsidRPr="00AF3E82">
          <w:rPr>
            <w:rStyle w:val="Hyperlink"/>
          </w:rPr>
          <w:t>https://jmlr.org/papers/v21/20-074.html</w:t>
        </w:r>
      </w:hyperlink>
    </w:p>
    <w:p w14:paraId="15993693" w14:textId="77777777" w:rsidR="0038624D" w:rsidRDefault="0038624D" w:rsidP="0049558B">
      <w:r>
        <w:t xml:space="preserve">[12] Brown, T. B., et al. (2020). </w:t>
      </w:r>
      <w:r>
        <w:rPr>
          <w:rStyle w:val="Emphasis"/>
        </w:rPr>
        <w:t>Language Models Are Few-Shot Learners (GPT-3).</w:t>
      </w:r>
      <w:r>
        <w:t xml:space="preserve"> </w:t>
      </w:r>
      <w:proofErr w:type="spellStart"/>
      <w:r>
        <w:rPr>
          <w:rStyle w:val="Emphasis"/>
        </w:rPr>
        <w:t>NeurIPS</w:t>
      </w:r>
      <w:proofErr w:type="spellEnd"/>
      <w:r>
        <w:rPr>
          <w:rStyle w:val="Emphasis"/>
        </w:rPr>
        <w:t xml:space="preserve"> 33,</w:t>
      </w:r>
      <w:r>
        <w:t xml:space="preserve"> 1877–1901. </w:t>
      </w:r>
      <w:hyperlink r:id="rId12" w:history="1">
        <w:r w:rsidRPr="00AF3E82">
          <w:rPr>
            <w:rStyle w:val="Hyperlink"/>
          </w:rPr>
          <w:t>https://arxiv.org/abs/2005.14165</w:t>
        </w:r>
      </w:hyperlink>
    </w:p>
    <w:p w14:paraId="31CF65B1" w14:textId="77777777" w:rsidR="0038624D" w:rsidRDefault="0038624D" w:rsidP="0049558B">
      <w:r>
        <w:t xml:space="preserve">[13] OpenAI. (2023). </w:t>
      </w:r>
      <w:r>
        <w:rPr>
          <w:rStyle w:val="Emphasis"/>
        </w:rPr>
        <w:t>GPT-4 Technical Report.</w:t>
      </w:r>
      <w:r>
        <w:t xml:space="preserve"> </w:t>
      </w:r>
      <w:r>
        <w:rPr>
          <w:rStyle w:val="Emphasis"/>
        </w:rPr>
        <w:t>arXiv:2303.08774.</w:t>
      </w:r>
      <w:r>
        <w:t xml:space="preserve"> </w:t>
      </w:r>
      <w:hyperlink r:id="rId13" w:tgtFrame="_new" w:history="1">
        <w:r>
          <w:rPr>
            <w:rStyle w:val="Hyperlink"/>
          </w:rPr>
          <w:t>https://arxiv.org/abs/2303.08774</w:t>
        </w:r>
      </w:hyperlink>
    </w:p>
    <w:p w14:paraId="7C7D0B4B" w14:textId="77777777" w:rsidR="007E6321" w:rsidRDefault="007E6321" w:rsidP="007E6321">
      <w:r>
        <w:t>[14] Ji, Z., Lee, N., Yu, T., et al. (2023). Survey of Hallucination in Large Language Models. ACM Computing Surveys. https://doi.org/10.1145/3571730</w:t>
      </w:r>
    </w:p>
    <w:p w14:paraId="64272DD6" w14:textId="77777777" w:rsidR="007E6321" w:rsidRDefault="007E6321" w:rsidP="007E6321">
      <w:r>
        <w:t xml:space="preserve">[15] Shuster, J., &amp; Liang, P. (2024). Towards Reliable and Verifiable Language Models in High-Stakes Domains. Transactions on Machine Learning Research. </w:t>
      </w:r>
      <w:hyperlink r:id="rId14" w:history="1">
        <w:r w:rsidRPr="00AF3E82">
          <w:rPr>
            <w:rStyle w:val="Hyperlink"/>
          </w:rPr>
          <w:t>https://openreview.net/forum?id=HkdP5zA1vD</w:t>
        </w:r>
      </w:hyperlink>
    </w:p>
    <w:p w14:paraId="4E1652AB" w14:textId="77777777" w:rsidR="00F940E6" w:rsidRDefault="00F940E6" w:rsidP="007E6321">
      <w:r>
        <w:t xml:space="preserve">[16] </w:t>
      </w:r>
      <w:proofErr w:type="spellStart"/>
      <w:r>
        <w:t>Izacard</w:t>
      </w:r>
      <w:proofErr w:type="spellEnd"/>
      <w:r>
        <w:t xml:space="preserve">, G., &amp; Grave, E. (2021). </w:t>
      </w:r>
      <w:r>
        <w:rPr>
          <w:rStyle w:val="Emphasis"/>
        </w:rPr>
        <w:t>Leveraging Passage Retrieval with Generative Models for Open-Domain Question Answering.</w:t>
      </w:r>
      <w:r>
        <w:t xml:space="preserve"> </w:t>
      </w:r>
      <w:r>
        <w:rPr>
          <w:rStyle w:val="Emphasis"/>
        </w:rPr>
        <w:t>EACL 2021.</w:t>
      </w:r>
      <w:r>
        <w:t xml:space="preserve"> </w:t>
      </w:r>
      <w:hyperlink r:id="rId15" w:history="1">
        <w:r w:rsidR="006E566E" w:rsidRPr="00AF3E82">
          <w:rPr>
            <w:rStyle w:val="Hyperlink"/>
          </w:rPr>
          <w:t>https://arxiv.org/abs/2007.01282</w:t>
        </w:r>
      </w:hyperlink>
    </w:p>
    <w:p w14:paraId="496E417D" w14:textId="77777777" w:rsidR="007E6321" w:rsidRDefault="006E566E" w:rsidP="006E566E">
      <w:r>
        <w:t xml:space="preserve">[17] </w:t>
      </w:r>
      <w:proofErr w:type="spellStart"/>
      <w:r>
        <w:t>Guu</w:t>
      </w:r>
      <w:proofErr w:type="spellEnd"/>
      <w:r>
        <w:t xml:space="preserve">, K., Lee, K., Tung, Z., </w:t>
      </w:r>
      <w:proofErr w:type="spellStart"/>
      <w:r>
        <w:t>Pasupat</w:t>
      </w:r>
      <w:proofErr w:type="spellEnd"/>
      <w:r>
        <w:t xml:space="preserve">, P., &amp; Chang, M. (2020). </w:t>
      </w:r>
      <w:r>
        <w:rPr>
          <w:rStyle w:val="Emphasis"/>
        </w:rPr>
        <w:t>REALM: Retrieval-Augmented Language Model Pre-Training.</w:t>
      </w:r>
      <w:r>
        <w:t xml:space="preserve"> </w:t>
      </w:r>
      <w:r>
        <w:rPr>
          <w:rStyle w:val="Emphasis"/>
        </w:rPr>
        <w:t>ICML 2020.</w:t>
      </w:r>
      <w:r>
        <w:t xml:space="preserve"> </w:t>
      </w:r>
      <w:hyperlink r:id="rId16" w:history="1">
        <w:r w:rsidRPr="00AF3E82">
          <w:rPr>
            <w:rStyle w:val="Hyperlink"/>
          </w:rPr>
          <w:t>https://arxiv.org/abs/2002.08909</w:t>
        </w:r>
      </w:hyperlink>
    </w:p>
    <w:p w14:paraId="25D32A4F" w14:textId="77777777" w:rsidR="006E566E" w:rsidRDefault="006E566E" w:rsidP="006E566E">
      <w:r>
        <w:t xml:space="preserve">[18] Thakur, N., Reimers, N., </w:t>
      </w:r>
      <w:proofErr w:type="spellStart"/>
      <w:r>
        <w:t>Daxenberger</w:t>
      </w:r>
      <w:proofErr w:type="spellEnd"/>
      <w:r>
        <w:t xml:space="preserve">, J., &amp; </w:t>
      </w:r>
      <w:proofErr w:type="spellStart"/>
      <w:r>
        <w:t>Gurevych</w:t>
      </w:r>
      <w:proofErr w:type="spellEnd"/>
      <w:r>
        <w:t xml:space="preserve">, I. (2021). </w:t>
      </w:r>
      <w:r>
        <w:rPr>
          <w:rStyle w:val="Emphasis"/>
        </w:rPr>
        <w:t>BEIR: A Heterogeneous Benchmark for Zero-Shot Evaluation of Information Retrieval Models.</w:t>
      </w:r>
      <w:r>
        <w:t xml:space="preserve"> </w:t>
      </w:r>
      <w:proofErr w:type="spellStart"/>
      <w:r>
        <w:rPr>
          <w:rStyle w:val="Emphasis"/>
        </w:rPr>
        <w:t>NeurIPS</w:t>
      </w:r>
      <w:proofErr w:type="spellEnd"/>
      <w:r>
        <w:rPr>
          <w:rStyle w:val="Emphasis"/>
        </w:rPr>
        <w:t xml:space="preserve"> 34,</w:t>
      </w:r>
      <w:r>
        <w:t xml:space="preserve"> 6119–6133. </w:t>
      </w:r>
      <w:hyperlink r:id="rId17" w:history="1">
        <w:r w:rsidR="000B318D" w:rsidRPr="00AF3E82">
          <w:rPr>
            <w:rStyle w:val="Hyperlink"/>
          </w:rPr>
          <w:t>https://arxiv.org/abs/2104.08663</w:t>
        </w:r>
      </w:hyperlink>
    </w:p>
    <w:p w14:paraId="310AE0A2" w14:textId="77777777" w:rsidR="000B318D" w:rsidRDefault="000B318D" w:rsidP="006E566E">
      <w:r>
        <w:t xml:space="preserve">[19] </w:t>
      </w:r>
      <w:r w:rsidRPr="000B318D">
        <w:t xml:space="preserve">Khandelwal, U., Fan, A., Jurafsky, D., et al. (2021). Nearest Neighbor Language Models. ICLR 2021. </w:t>
      </w:r>
      <w:hyperlink r:id="rId18" w:history="1">
        <w:r w:rsidRPr="00AF3E82">
          <w:rPr>
            <w:rStyle w:val="Hyperlink"/>
          </w:rPr>
          <w:t>https://arxiv.org/abs/1911.00172</w:t>
        </w:r>
      </w:hyperlink>
    </w:p>
    <w:p w14:paraId="095868B8" w14:textId="77777777" w:rsidR="000B318D" w:rsidRDefault="000B318D" w:rsidP="006E566E">
      <w:r>
        <w:t xml:space="preserve">[20] </w:t>
      </w:r>
      <w:r w:rsidRPr="000B318D">
        <w:t xml:space="preserve">Bohnet, B., Zettlemoyer, L., &amp; Lewis, P. (2023). Attribution for Retrieval-Augmented Generation. arXiv:2305.13252. </w:t>
      </w:r>
      <w:hyperlink r:id="rId19" w:history="1">
        <w:r w:rsidRPr="00AF3E82">
          <w:rPr>
            <w:rStyle w:val="Hyperlink"/>
          </w:rPr>
          <w:t>https://arxiv.org/abs/2305.13252</w:t>
        </w:r>
      </w:hyperlink>
    </w:p>
    <w:p w14:paraId="1FB6015C" w14:textId="77777777" w:rsidR="000B318D" w:rsidRDefault="000B318D" w:rsidP="006E566E">
      <w:r>
        <w:t xml:space="preserve">[21] </w:t>
      </w:r>
      <w:r w:rsidRPr="000B318D">
        <w:t xml:space="preserve">Shuster, J., Ju, D., Xu, J., et al. (2023). Trustworthy Information Retrieval and Evidence-Grounded Language Models. Transactions on Machine Learning Research. </w:t>
      </w:r>
      <w:hyperlink r:id="rId20" w:history="1">
        <w:r w:rsidRPr="00AF3E82">
          <w:rPr>
            <w:rStyle w:val="Hyperlink"/>
          </w:rPr>
          <w:t>https://openreview.net/forum?id=vwUXb28lTn</w:t>
        </w:r>
      </w:hyperlink>
    </w:p>
    <w:p w14:paraId="245EE7D6" w14:textId="77777777" w:rsidR="000B318D" w:rsidRDefault="000B318D" w:rsidP="006E566E">
      <w:r>
        <w:lastRenderedPageBreak/>
        <w:t xml:space="preserve">[22] </w:t>
      </w:r>
      <w:r w:rsidRPr="000B318D">
        <w:t xml:space="preserve">Thakur, N., Reimers, N., </w:t>
      </w:r>
      <w:proofErr w:type="spellStart"/>
      <w:r w:rsidRPr="000B318D">
        <w:t>Daxenberger</w:t>
      </w:r>
      <w:proofErr w:type="spellEnd"/>
      <w:r w:rsidRPr="000B318D">
        <w:t xml:space="preserve">, J., &amp; </w:t>
      </w:r>
      <w:proofErr w:type="spellStart"/>
      <w:r w:rsidRPr="000B318D">
        <w:t>Gurevych</w:t>
      </w:r>
      <w:proofErr w:type="spellEnd"/>
      <w:r w:rsidRPr="000B318D">
        <w:t xml:space="preserve">, I. (2021). BEIR: A Heterogeneous Benchmark for Zero-Shot Evaluation of Information Retrieval Models. </w:t>
      </w:r>
      <w:proofErr w:type="spellStart"/>
      <w:r w:rsidRPr="000B318D">
        <w:t>NeurIPS</w:t>
      </w:r>
      <w:proofErr w:type="spellEnd"/>
      <w:r w:rsidRPr="000B318D">
        <w:t xml:space="preserve"> 34, 6119–6133. </w:t>
      </w:r>
      <w:hyperlink r:id="rId21" w:history="1">
        <w:r w:rsidRPr="00AF3E82">
          <w:rPr>
            <w:rStyle w:val="Hyperlink"/>
          </w:rPr>
          <w:t>https://arxiv.org/abs/2104.08663</w:t>
        </w:r>
      </w:hyperlink>
    </w:p>
    <w:p w14:paraId="67F0C62B" w14:textId="77777777" w:rsidR="0038624D" w:rsidRDefault="000B318D" w:rsidP="000B318D">
      <w:r w:rsidRPr="000C40ED">
        <w:t xml:space="preserve">[23] </w:t>
      </w:r>
      <w:r w:rsidRPr="000B318D">
        <w:t xml:space="preserve">Asai, A., Fabbri, A., &amp; Chen, D. (2024). </w:t>
      </w:r>
      <w:r w:rsidRPr="000C40ED">
        <w:t>Self-RAG: Learning to Retrieve, Generate, and Critique through Self-Reflection.</w:t>
      </w:r>
      <w:r w:rsidRPr="000B318D">
        <w:t xml:space="preserve"> </w:t>
      </w:r>
      <w:r w:rsidRPr="000C40ED">
        <w:t>arXiv:2403.08442.</w:t>
      </w:r>
      <w:r w:rsidRPr="000B318D">
        <w:t xml:space="preserve"> </w:t>
      </w:r>
      <w:hyperlink r:id="rId22" w:history="1">
        <w:r w:rsidR="000C40ED" w:rsidRPr="00AF3E82">
          <w:rPr>
            <w:rStyle w:val="Hyperlink"/>
          </w:rPr>
          <w:t>https://arxiv.org/abs/2403.08442</w:t>
        </w:r>
      </w:hyperlink>
    </w:p>
    <w:p w14:paraId="1AEF6020" w14:textId="77777777" w:rsidR="000C40ED" w:rsidRDefault="000C40ED" w:rsidP="000B318D">
      <w:r>
        <w:t xml:space="preserve">[24] </w:t>
      </w:r>
      <w:r w:rsidRPr="000C40ED">
        <w:t xml:space="preserve">Singhal, K., et al. (2023). Large Language Models Encode Clinical Knowledge. Nature, 620, 321–329. </w:t>
      </w:r>
      <w:hyperlink r:id="rId23" w:history="1">
        <w:r w:rsidRPr="00AF3E82">
          <w:rPr>
            <w:rStyle w:val="Hyperlink"/>
          </w:rPr>
          <w:t>https://doi.org/10.1038/s41586-023-06291-2</w:t>
        </w:r>
      </w:hyperlink>
    </w:p>
    <w:p w14:paraId="6C4772CE" w14:textId="77777777" w:rsidR="000C40ED" w:rsidRDefault="000C40ED" w:rsidP="000B318D">
      <w:r>
        <w:t xml:space="preserve">[25] </w:t>
      </w:r>
      <w:r w:rsidRPr="000C40ED">
        <w:t xml:space="preserve">West, P., Zhong, Z., Lee, T., et al. (2022). Data-Augmented Generation for Engineering and Scientific Domains. arXiv:2211.01550. </w:t>
      </w:r>
      <w:hyperlink r:id="rId24" w:history="1">
        <w:r w:rsidRPr="00AF3E82">
          <w:rPr>
            <w:rStyle w:val="Hyperlink"/>
          </w:rPr>
          <w:t>https://arxiv.org/abs/2211.01550</w:t>
        </w:r>
      </w:hyperlink>
    </w:p>
    <w:p w14:paraId="0C0C381C" w14:textId="77777777" w:rsidR="000C40ED" w:rsidRDefault="000C40ED" w:rsidP="000B318D">
      <w:r>
        <w:t xml:space="preserve">[26] </w:t>
      </w:r>
      <w:r w:rsidRPr="000C40ED">
        <w:t xml:space="preserve">Gao, Y., &amp; Chen, D. (2024). Regulatory Document Understanding with Retrieval-Augmented Transformers. Proceedings of ACL 2024. </w:t>
      </w:r>
      <w:hyperlink r:id="rId25" w:history="1">
        <w:r w:rsidR="00430FA0" w:rsidRPr="002A414B">
          <w:rPr>
            <w:rStyle w:val="Hyperlink"/>
          </w:rPr>
          <w:t>https://arxiv.org/abs/2404.08725</w:t>
        </w:r>
      </w:hyperlink>
    </w:p>
    <w:p w14:paraId="4BD1339B" w14:textId="77777777" w:rsidR="00430FA0" w:rsidRDefault="00430FA0" w:rsidP="000B318D">
      <w:r>
        <w:t xml:space="preserve">[27] </w:t>
      </w:r>
      <w:r w:rsidRPr="00430FA0">
        <w:t xml:space="preserve">Zhao, P. et al. (2024). Retrieval-Augmented Generation for AI-Generated Content: A Survey. arXiv:2402.19473. </w:t>
      </w:r>
      <w:hyperlink r:id="rId26" w:history="1">
        <w:r w:rsidRPr="002A414B">
          <w:rPr>
            <w:rStyle w:val="Hyperlink"/>
          </w:rPr>
          <w:t>https://arxiv.org/abs/2402.19473</w:t>
        </w:r>
      </w:hyperlink>
    </w:p>
    <w:p w14:paraId="33B5AC4F" w14:textId="77777777" w:rsidR="00430FA0" w:rsidRDefault="00430FA0" w:rsidP="000B318D">
      <w:r>
        <w:t xml:space="preserve">[28] </w:t>
      </w:r>
      <w:r w:rsidRPr="00430FA0">
        <w:rPr>
          <w:b/>
          <w:bCs/>
        </w:rPr>
        <w:t>Huang, Y., &amp; Huang, J. (2024).</w:t>
      </w:r>
      <w:r>
        <w:t xml:space="preserve"> </w:t>
      </w:r>
      <w:r w:rsidRPr="00430FA0">
        <w:rPr>
          <w:i/>
          <w:iCs/>
        </w:rPr>
        <w:t>A Survey on Retrieval-Augmented Text Generation for Large Language Models.</w:t>
      </w:r>
      <w:r>
        <w:t xml:space="preserve"> arXiv:2404.10981. </w:t>
      </w:r>
      <w:hyperlink r:id="rId27" w:history="1">
        <w:r w:rsidRPr="00430FA0">
          <w:t>https://arxiv.org/abs/2404.10981</w:t>
        </w:r>
      </w:hyperlink>
    </w:p>
    <w:p w14:paraId="5BA014DC" w14:textId="77777777" w:rsidR="00430FA0" w:rsidRDefault="00430FA0" w:rsidP="000B318D">
      <w:r>
        <w:t xml:space="preserve">[29] </w:t>
      </w:r>
      <w:r>
        <w:rPr>
          <w:rStyle w:val="Strong"/>
        </w:rPr>
        <w:t>Wang, X. et al. (2024).</w:t>
      </w:r>
      <w:r>
        <w:t xml:space="preserve"> </w:t>
      </w:r>
      <w:r>
        <w:rPr>
          <w:rStyle w:val="Emphasis"/>
        </w:rPr>
        <w:t>Searching for Best Practices in Retrieval-Augmented Generation.</w:t>
      </w:r>
      <w:r>
        <w:t xml:space="preserve"> arXiv:2407.01219. </w:t>
      </w:r>
      <w:hyperlink r:id="rId28" w:history="1">
        <w:r w:rsidRPr="002A414B">
          <w:rPr>
            <w:rStyle w:val="Hyperlink"/>
          </w:rPr>
          <w:t>https://arxiv.org/abs/2407.01219</w:t>
        </w:r>
      </w:hyperlink>
    </w:p>
    <w:p w14:paraId="274D24AC" w14:textId="77777777" w:rsidR="00430FA0" w:rsidRDefault="00430FA0" w:rsidP="000B318D">
      <w:r>
        <w:t xml:space="preserve">[30] </w:t>
      </w:r>
      <w:r>
        <w:rPr>
          <w:rStyle w:val="Strong"/>
        </w:rPr>
        <w:t>Lu, Y. et al. (2024).</w:t>
      </w:r>
      <w:r>
        <w:t xml:space="preserve"> </w:t>
      </w:r>
      <w:r>
        <w:rPr>
          <w:rStyle w:val="Emphasis"/>
        </w:rPr>
        <w:t>A Retrieval-Augmented Generation Framework for Electric Power Industry Question Answering.</w:t>
      </w:r>
      <w:r>
        <w:t xml:space="preserve"> ACM CIKM. </w:t>
      </w:r>
      <w:hyperlink r:id="rId29" w:history="1">
        <w:r w:rsidRPr="002A414B">
          <w:rPr>
            <w:rStyle w:val="Hyperlink"/>
          </w:rPr>
          <w:t>https://doi.org/10.1145/3705754.3705771</w:t>
        </w:r>
      </w:hyperlink>
    </w:p>
    <w:p w14:paraId="5584B1C6" w14:textId="77777777" w:rsidR="00037765" w:rsidRDefault="00037765" w:rsidP="000B318D">
      <w:r>
        <w:t xml:space="preserve">[31] </w:t>
      </w:r>
      <w:r>
        <w:rPr>
          <w:rStyle w:val="Strong"/>
        </w:rPr>
        <w:t>Yan, G. et al. (2025).</w:t>
      </w:r>
      <w:r>
        <w:t xml:space="preserve"> </w:t>
      </w:r>
      <w:proofErr w:type="spellStart"/>
      <w:r>
        <w:rPr>
          <w:rStyle w:val="Emphasis"/>
        </w:rPr>
        <w:t>HetaRAG</w:t>
      </w:r>
      <w:proofErr w:type="spellEnd"/>
      <w:r>
        <w:rPr>
          <w:rStyle w:val="Emphasis"/>
        </w:rPr>
        <w:t>: Hybrid Deep Retrieval-Augmented Generation across Heterogeneous Data Stores.</w:t>
      </w:r>
      <w:r>
        <w:t xml:space="preserve"> arXiv:2509.21336. </w:t>
      </w:r>
      <w:hyperlink r:id="rId30" w:history="1">
        <w:r w:rsidRPr="002A414B">
          <w:rPr>
            <w:rStyle w:val="Hyperlink"/>
          </w:rPr>
          <w:t>https://arxiv.org/abs/2509.21336</w:t>
        </w:r>
      </w:hyperlink>
    </w:p>
    <w:p w14:paraId="5EA4EA38" w14:textId="77777777" w:rsidR="00037765" w:rsidRDefault="00037765" w:rsidP="000B318D">
      <w:r>
        <w:t xml:space="preserve">[32] </w:t>
      </w:r>
      <w:r>
        <w:rPr>
          <w:rStyle w:val="Strong"/>
        </w:rPr>
        <w:t>Lee, M. C. et al. (2024).</w:t>
      </w:r>
      <w:r>
        <w:t xml:space="preserve"> </w:t>
      </w:r>
      <w:proofErr w:type="spellStart"/>
      <w:r>
        <w:rPr>
          <w:rStyle w:val="Emphasis"/>
        </w:rPr>
        <w:t>HybGrag</w:t>
      </w:r>
      <w:proofErr w:type="spellEnd"/>
      <w:r>
        <w:rPr>
          <w:rStyle w:val="Emphasis"/>
        </w:rPr>
        <w:t>: Hybrid Retrieval-Augmented Generation on Textual and Relational Knowledge Bases.</w:t>
      </w:r>
      <w:r>
        <w:t xml:space="preserve"> arXiv:2412.16311. </w:t>
      </w:r>
      <w:hyperlink r:id="rId31" w:history="1">
        <w:r w:rsidRPr="002A414B">
          <w:rPr>
            <w:rStyle w:val="Hyperlink"/>
          </w:rPr>
          <w:t>https://arxiv.org/abs/2412.16311</w:t>
        </w:r>
      </w:hyperlink>
    </w:p>
    <w:p w14:paraId="77BA58C2" w14:textId="77777777" w:rsidR="00037765" w:rsidRDefault="00037765" w:rsidP="000B318D"/>
    <w:p w14:paraId="42EBF254" w14:textId="77777777" w:rsidR="00430FA0" w:rsidRDefault="00430FA0" w:rsidP="000B318D"/>
    <w:p w14:paraId="70BC5110" w14:textId="77777777" w:rsidR="00430FA0" w:rsidRDefault="00430FA0" w:rsidP="000B318D"/>
    <w:p w14:paraId="037EB6C5" w14:textId="77777777" w:rsidR="00430FA0" w:rsidRDefault="00430FA0" w:rsidP="000B318D"/>
    <w:sectPr w:rsidR="00430FA0" w:rsidSect="00E10E65">
      <w:pgSz w:w="11906" w:h="16838" w:code="9"/>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749E"/>
    <w:multiLevelType w:val="multilevel"/>
    <w:tmpl w:val="558C4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C24138"/>
    <w:multiLevelType w:val="multilevel"/>
    <w:tmpl w:val="7854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E65F2"/>
    <w:multiLevelType w:val="hybridMultilevel"/>
    <w:tmpl w:val="2E48C81C"/>
    <w:lvl w:ilvl="0" w:tplc="9814E302">
      <w:start w:val="1"/>
      <w:numFmt w:val="decimal"/>
      <w:lvlText w:val="%1."/>
      <w:lvlJc w:val="left"/>
      <w:pPr>
        <w:ind w:left="720" w:hanging="360"/>
      </w:pPr>
      <w:rPr>
        <w:rFonts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5608204">
    <w:abstractNumId w:val="2"/>
  </w:num>
  <w:num w:numId="2" w16cid:durableId="1532917977">
    <w:abstractNumId w:val="0"/>
  </w:num>
  <w:num w:numId="3" w16cid:durableId="1813711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58B"/>
    <w:rsid w:val="00024358"/>
    <w:rsid w:val="00037765"/>
    <w:rsid w:val="00060A3D"/>
    <w:rsid w:val="000B318D"/>
    <w:rsid w:val="000C40ED"/>
    <w:rsid w:val="000D0830"/>
    <w:rsid w:val="001146C1"/>
    <w:rsid w:val="001937DA"/>
    <w:rsid w:val="001E6388"/>
    <w:rsid w:val="002E348C"/>
    <w:rsid w:val="002E422F"/>
    <w:rsid w:val="0033077D"/>
    <w:rsid w:val="0038624D"/>
    <w:rsid w:val="003C56C6"/>
    <w:rsid w:val="00430FA0"/>
    <w:rsid w:val="0049558B"/>
    <w:rsid w:val="004D2574"/>
    <w:rsid w:val="00524925"/>
    <w:rsid w:val="0053192A"/>
    <w:rsid w:val="00622F42"/>
    <w:rsid w:val="00637857"/>
    <w:rsid w:val="006E566E"/>
    <w:rsid w:val="007E6321"/>
    <w:rsid w:val="0089126D"/>
    <w:rsid w:val="008A1F40"/>
    <w:rsid w:val="009726FA"/>
    <w:rsid w:val="0099062C"/>
    <w:rsid w:val="0099261D"/>
    <w:rsid w:val="00A07D70"/>
    <w:rsid w:val="00A2515B"/>
    <w:rsid w:val="00C52762"/>
    <w:rsid w:val="00D12592"/>
    <w:rsid w:val="00D32A95"/>
    <w:rsid w:val="00D77396"/>
    <w:rsid w:val="00E10E65"/>
    <w:rsid w:val="00E75A8F"/>
    <w:rsid w:val="00F940E6"/>
    <w:rsid w:val="00FB51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5BB4"/>
  <w15:chartTrackingRefBased/>
  <w15:docId w15:val="{44E7D7E2-07D9-4A95-B220-08B02455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60A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55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558B"/>
    <w:rPr>
      <w:b/>
      <w:bCs/>
    </w:rPr>
  </w:style>
  <w:style w:type="character" w:styleId="Emphasis">
    <w:name w:val="Emphasis"/>
    <w:basedOn w:val="DefaultParagraphFont"/>
    <w:uiPriority w:val="20"/>
    <w:qFormat/>
    <w:rsid w:val="0049558B"/>
    <w:rPr>
      <w:i/>
      <w:iCs/>
    </w:rPr>
  </w:style>
  <w:style w:type="character" w:styleId="Hyperlink">
    <w:name w:val="Hyperlink"/>
    <w:basedOn w:val="DefaultParagraphFont"/>
    <w:uiPriority w:val="99"/>
    <w:unhideWhenUsed/>
    <w:rsid w:val="0049558B"/>
    <w:rPr>
      <w:color w:val="0563C1" w:themeColor="hyperlink"/>
      <w:u w:val="single"/>
    </w:rPr>
  </w:style>
  <w:style w:type="paragraph" w:styleId="ListParagraph">
    <w:name w:val="List Paragraph"/>
    <w:basedOn w:val="Normal"/>
    <w:uiPriority w:val="34"/>
    <w:qFormat/>
    <w:rsid w:val="00637857"/>
    <w:pPr>
      <w:ind w:left="720"/>
      <w:contextualSpacing/>
    </w:pPr>
  </w:style>
  <w:style w:type="table" w:styleId="TableGrid">
    <w:name w:val="Table Grid"/>
    <w:basedOn w:val="TableNormal"/>
    <w:uiPriority w:val="39"/>
    <w:rsid w:val="0006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60A3D"/>
    <w:rPr>
      <w:rFonts w:ascii="Times New Roman" w:eastAsia="Times New Roman" w:hAnsi="Times New Roman" w:cs="Times New Roman"/>
      <w:b/>
      <w:bCs/>
      <w:sz w:val="27"/>
      <w:szCs w:val="27"/>
    </w:rPr>
  </w:style>
  <w:style w:type="character" w:customStyle="1" w:styleId="katex-mathml">
    <w:name w:val="katex-mathml"/>
    <w:basedOn w:val="DefaultParagraphFont"/>
    <w:rsid w:val="00060A3D"/>
  </w:style>
  <w:style w:type="character" w:customStyle="1" w:styleId="mord">
    <w:name w:val="mord"/>
    <w:basedOn w:val="DefaultParagraphFont"/>
    <w:rsid w:val="00060A3D"/>
  </w:style>
  <w:style w:type="character" w:customStyle="1" w:styleId="vlist-s">
    <w:name w:val="vlist-s"/>
    <w:basedOn w:val="DefaultParagraphFont"/>
    <w:rsid w:val="00060A3D"/>
  </w:style>
  <w:style w:type="character" w:customStyle="1" w:styleId="mrel">
    <w:name w:val="mrel"/>
    <w:basedOn w:val="DefaultParagraphFont"/>
    <w:rsid w:val="00060A3D"/>
  </w:style>
  <w:style w:type="character" w:customStyle="1" w:styleId="mbin">
    <w:name w:val="mbin"/>
    <w:basedOn w:val="DefaultParagraphFont"/>
    <w:rsid w:val="00060A3D"/>
  </w:style>
  <w:style w:type="character" w:customStyle="1" w:styleId="mopen">
    <w:name w:val="mopen"/>
    <w:basedOn w:val="DefaultParagraphFont"/>
    <w:rsid w:val="00060A3D"/>
  </w:style>
  <w:style w:type="character" w:customStyle="1" w:styleId="mclose">
    <w:name w:val="mclose"/>
    <w:basedOn w:val="DefaultParagraphFont"/>
    <w:rsid w:val="000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9407">
      <w:bodyDiv w:val="1"/>
      <w:marLeft w:val="0"/>
      <w:marRight w:val="0"/>
      <w:marTop w:val="0"/>
      <w:marBottom w:val="0"/>
      <w:divBdr>
        <w:top w:val="none" w:sz="0" w:space="0" w:color="auto"/>
        <w:left w:val="none" w:sz="0" w:space="0" w:color="auto"/>
        <w:bottom w:val="none" w:sz="0" w:space="0" w:color="auto"/>
        <w:right w:val="none" w:sz="0" w:space="0" w:color="auto"/>
      </w:divBdr>
    </w:div>
    <w:div w:id="270942480">
      <w:bodyDiv w:val="1"/>
      <w:marLeft w:val="0"/>
      <w:marRight w:val="0"/>
      <w:marTop w:val="0"/>
      <w:marBottom w:val="0"/>
      <w:divBdr>
        <w:top w:val="none" w:sz="0" w:space="0" w:color="auto"/>
        <w:left w:val="none" w:sz="0" w:space="0" w:color="auto"/>
        <w:bottom w:val="none" w:sz="0" w:space="0" w:color="auto"/>
        <w:right w:val="none" w:sz="0" w:space="0" w:color="auto"/>
      </w:divBdr>
    </w:div>
    <w:div w:id="379548986">
      <w:bodyDiv w:val="1"/>
      <w:marLeft w:val="0"/>
      <w:marRight w:val="0"/>
      <w:marTop w:val="0"/>
      <w:marBottom w:val="0"/>
      <w:divBdr>
        <w:top w:val="none" w:sz="0" w:space="0" w:color="auto"/>
        <w:left w:val="none" w:sz="0" w:space="0" w:color="auto"/>
        <w:bottom w:val="none" w:sz="0" w:space="0" w:color="auto"/>
        <w:right w:val="none" w:sz="0" w:space="0" w:color="auto"/>
      </w:divBdr>
      <w:divsChild>
        <w:div w:id="891232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3714677">
      <w:bodyDiv w:val="1"/>
      <w:marLeft w:val="0"/>
      <w:marRight w:val="0"/>
      <w:marTop w:val="0"/>
      <w:marBottom w:val="0"/>
      <w:divBdr>
        <w:top w:val="none" w:sz="0" w:space="0" w:color="auto"/>
        <w:left w:val="none" w:sz="0" w:space="0" w:color="auto"/>
        <w:bottom w:val="none" w:sz="0" w:space="0" w:color="auto"/>
        <w:right w:val="none" w:sz="0" w:space="0" w:color="auto"/>
      </w:divBdr>
      <w:divsChild>
        <w:div w:id="1431272574">
          <w:blockQuote w:val="1"/>
          <w:marLeft w:val="720"/>
          <w:marRight w:val="720"/>
          <w:marTop w:val="100"/>
          <w:marBottom w:val="100"/>
          <w:divBdr>
            <w:top w:val="none" w:sz="0" w:space="0" w:color="auto"/>
            <w:left w:val="none" w:sz="0" w:space="0" w:color="auto"/>
            <w:bottom w:val="none" w:sz="0" w:space="0" w:color="auto"/>
            <w:right w:val="none" w:sz="0" w:space="0" w:color="auto"/>
          </w:divBdr>
        </w:div>
        <w:div w:id="376781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35364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259977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388252">
          <w:marLeft w:val="0"/>
          <w:marRight w:val="0"/>
          <w:marTop w:val="0"/>
          <w:marBottom w:val="0"/>
          <w:divBdr>
            <w:top w:val="none" w:sz="0" w:space="0" w:color="auto"/>
            <w:left w:val="none" w:sz="0" w:space="0" w:color="auto"/>
            <w:bottom w:val="none" w:sz="0" w:space="0" w:color="auto"/>
            <w:right w:val="none" w:sz="0" w:space="0" w:color="auto"/>
          </w:divBdr>
          <w:divsChild>
            <w:div w:id="1836845704">
              <w:marLeft w:val="0"/>
              <w:marRight w:val="0"/>
              <w:marTop w:val="0"/>
              <w:marBottom w:val="0"/>
              <w:divBdr>
                <w:top w:val="none" w:sz="0" w:space="0" w:color="auto"/>
                <w:left w:val="none" w:sz="0" w:space="0" w:color="auto"/>
                <w:bottom w:val="none" w:sz="0" w:space="0" w:color="auto"/>
                <w:right w:val="none" w:sz="0" w:space="0" w:color="auto"/>
              </w:divBdr>
            </w:div>
          </w:divsChild>
        </w:div>
        <w:div w:id="200150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915785">
          <w:marLeft w:val="0"/>
          <w:marRight w:val="0"/>
          <w:marTop w:val="0"/>
          <w:marBottom w:val="0"/>
          <w:divBdr>
            <w:top w:val="none" w:sz="0" w:space="0" w:color="auto"/>
            <w:left w:val="none" w:sz="0" w:space="0" w:color="auto"/>
            <w:bottom w:val="none" w:sz="0" w:space="0" w:color="auto"/>
            <w:right w:val="none" w:sz="0" w:space="0" w:color="auto"/>
          </w:divBdr>
          <w:divsChild>
            <w:div w:id="468861212">
              <w:marLeft w:val="0"/>
              <w:marRight w:val="0"/>
              <w:marTop w:val="0"/>
              <w:marBottom w:val="0"/>
              <w:divBdr>
                <w:top w:val="none" w:sz="0" w:space="0" w:color="auto"/>
                <w:left w:val="none" w:sz="0" w:space="0" w:color="auto"/>
                <w:bottom w:val="none" w:sz="0" w:space="0" w:color="auto"/>
                <w:right w:val="none" w:sz="0" w:space="0" w:color="auto"/>
              </w:divBdr>
            </w:div>
          </w:divsChild>
        </w:div>
        <w:div w:id="1871798576">
          <w:marLeft w:val="0"/>
          <w:marRight w:val="0"/>
          <w:marTop w:val="0"/>
          <w:marBottom w:val="0"/>
          <w:divBdr>
            <w:top w:val="none" w:sz="0" w:space="0" w:color="auto"/>
            <w:left w:val="none" w:sz="0" w:space="0" w:color="auto"/>
            <w:bottom w:val="none" w:sz="0" w:space="0" w:color="auto"/>
            <w:right w:val="none" w:sz="0" w:space="0" w:color="auto"/>
          </w:divBdr>
          <w:divsChild>
            <w:div w:id="8177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17751">
      <w:bodyDiv w:val="1"/>
      <w:marLeft w:val="0"/>
      <w:marRight w:val="0"/>
      <w:marTop w:val="0"/>
      <w:marBottom w:val="0"/>
      <w:divBdr>
        <w:top w:val="none" w:sz="0" w:space="0" w:color="auto"/>
        <w:left w:val="none" w:sz="0" w:space="0" w:color="auto"/>
        <w:bottom w:val="none" w:sz="0" w:space="0" w:color="auto"/>
        <w:right w:val="none" w:sz="0" w:space="0" w:color="auto"/>
      </w:divBdr>
      <w:divsChild>
        <w:div w:id="1740205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2089287">
      <w:bodyDiv w:val="1"/>
      <w:marLeft w:val="0"/>
      <w:marRight w:val="0"/>
      <w:marTop w:val="0"/>
      <w:marBottom w:val="0"/>
      <w:divBdr>
        <w:top w:val="none" w:sz="0" w:space="0" w:color="auto"/>
        <w:left w:val="none" w:sz="0" w:space="0" w:color="auto"/>
        <w:bottom w:val="none" w:sz="0" w:space="0" w:color="auto"/>
        <w:right w:val="none" w:sz="0" w:space="0" w:color="auto"/>
      </w:divBdr>
    </w:div>
    <w:div w:id="740950939">
      <w:bodyDiv w:val="1"/>
      <w:marLeft w:val="0"/>
      <w:marRight w:val="0"/>
      <w:marTop w:val="0"/>
      <w:marBottom w:val="0"/>
      <w:divBdr>
        <w:top w:val="none" w:sz="0" w:space="0" w:color="auto"/>
        <w:left w:val="none" w:sz="0" w:space="0" w:color="auto"/>
        <w:bottom w:val="none" w:sz="0" w:space="0" w:color="auto"/>
        <w:right w:val="none" w:sz="0" w:space="0" w:color="auto"/>
      </w:divBdr>
      <w:divsChild>
        <w:div w:id="1675761660">
          <w:marLeft w:val="0"/>
          <w:marRight w:val="0"/>
          <w:marTop w:val="0"/>
          <w:marBottom w:val="0"/>
          <w:divBdr>
            <w:top w:val="none" w:sz="0" w:space="0" w:color="auto"/>
            <w:left w:val="none" w:sz="0" w:space="0" w:color="auto"/>
            <w:bottom w:val="none" w:sz="0" w:space="0" w:color="auto"/>
            <w:right w:val="none" w:sz="0" w:space="0" w:color="auto"/>
          </w:divBdr>
          <w:divsChild>
            <w:div w:id="20370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8044">
      <w:bodyDiv w:val="1"/>
      <w:marLeft w:val="0"/>
      <w:marRight w:val="0"/>
      <w:marTop w:val="0"/>
      <w:marBottom w:val="0"/>
      <w:divBdr>
        <w:top w:val="none" w:sz="0" w:space="0" w:color="auto"/>
        <w:left w:val="none" w:sz="0" w:space="0" w:color="auto"/>
        <w:bottom w:val="none" w:sz="0" w:space="0" w:color="auto"/>
        <w:right w:val="none" w:sz="0" w:space="0" w:color="auto"/>
      </w:divBdr>
      <w:divsChild>
        <w:div w:id="159759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66382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737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308918">
      <w:bodyDiv w:val="1"/>
      <w:marLeft w:val="0"/>
      <w:marRight w:val="0"/>
      <w:marTop w:val="0"/>
      <w:marBottom w:val="0"/>
      <w:divBdr>
        <w:top w:val="none" w:sz="0" w:space="0" w:color="auto"/>
        <w:left w:val="none" w:sz="0" w:space="0" w:color="auto"/>
        <w:bottom w:val="none" w:sz="0" w:space="0" w:color="auto"/>
        <w:right w:val="none" w:sz="0" w:space="0" w:color="auto"/>
      </w:divBdr>
      <w:divsChild>
        <w:div w:id="825050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3061098">
      <w:bodyDiv w:val="1"/>
      <w:marLeft w:val="0"/>
      <w:marRight w:val="0"/>
      <w:marTop w:val="0"/>
      <w:marBottom w:val="0"/>
      <w:divBdr>
        <w:top w:val="none" w:sz="0" w:space="0" w:color="auto"/>
        <w:left w:val="none" w:sz="0" w:space="0" w:color="auto"/>
        <w:bottom w:val="none" w:sz="0" w:space="0" w:color="auto"/>
        <w:right w:val="none" w:sz="0" w:space="0" w:color="auto"/>
      </w:divBdr>
    </w:div>
    <w:div w:id="1317494842">
      <w:bodyDiv w:val="1"/>
      <w:marLeft w:val="0"/>
      <w:marRight w:val="0"/>
      <w:marTop w:val="0"/>
      <w:marBottom w:val="0"/>
      <w:divBdr>
        <w:top w:val="none" w:sz="0" w:space="0" w:color="auto"/>
        <w:left w:val="none" w:sz="0" w:space="0" w:color="auto"/>
        <w:bottom w:val="none" w:sz="0" w:space="0" w:color="auto"/>
        <w:right w:val="none" w:sz="0" w:space="0" w:color="auto"/>
      </w:divBdr>
      <w:divsChild>
        <w:div w:id="1751343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362085">
      <w:bodyDiv w:val="1"/>
      <w:marLeft w:val="0"/>
      <w:marRight w:val="0"/>
      <w:marTop w:val="0"/>
      <w:marBottom w:val="0"/>
      <w:divBdr>
        <w:top w:val="none" w:sz="0" w:space="0" w:color="auto"/>
        <w:left w:val="none" w:sz="0" w:space="0" w:color="auto"/>
        <w:bottom w:val="none" w:sz="0" w:space="0" w:color="auto"/>
        <w:right w:val="none" w:sz="0" w:space="0" w:color="auto"/>
      </w:divBdr>
    </w:div>
    <w:div w:id="1386683128">
      <w:bodyDiv w:val="1"/>
      <w:marLeft w:val="0"/>
      <w:marRight w:val="0"/>
      <w:marTop w:val="0"/>
      <w:marBottom w:val="0"/>
      <w:divBdr>
        <w:top w:val="none" w:sz="0" w:space="0" w:color="auto"/>
        <w:left w:val="none" w:sz="0" w:space="0" w:color="auto"/>
        <w:bottom w:val="none" w:sz="0" w:space="0" w:color="auto"/>
        <w:right w:val="none" w:sz="0" w:space="0" w:color="auto"/>
      </w:divBdr>
      <w:divsChild>
        <w:div w:id="1243026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596456">
      <w:bodyDiv w:val="1"/>
      <w:marLeft w:val="0"/>
      <w:marRight w:val="0"/>
      <w:marTop w:val="0"/>
      <w:marBottom w:val="0"/>
      <w:divBdr>
        <w:top w:val="none" w:sz="0" w:space="0" w:color="auto"/>
        <w:left w:val="none" w:sz="0" w:space="0" w:color="auto"/>
        <w:bottom w:val="none" w:sz="0" w:space="0" w:color="auto"/>
        <w:right w:val="none" w:sz="0" w:space="0" w:color="auto"/>
      </w:divBdr>
    </w:div>
    <w:div w:id="1591963537">
      <w:bodyDiv w:val="1"/>
      <w:marLeft w:val="0"/>
      <w:marRight w:val="0"/>
      <w:marTop w:val="0"/>
      <w:marBottom w:val="0"/>
      <w:divBdr>
        <w:top w:val="none" w:sz="0" w:space="0" w:color="auto"/>
        <w:left w:val="none" w:sz="0" w:space="0" w:color="auto"/>
        <w:bottom w:val="none" w:sz="0" w:space="0" w:color="auto"/>
        <w:right w:val="none" w:sz="0" w:space="0" w:color="auto"/>
      </w:divBdr>
    </w:div>
    <w:div w:id="1710296070">
      <w:bodyDiv w:val="1"/>
      <w:marLeft w:val="0"/>
      <w:marRight w:val="0"/>
      <w:marTop w:val="0"/>
      <w:marBottom w:val="0"/>
      <w:divBdr>
        <w:top w:val="none" w:sz="0" w:space="0" w:color="auto"/>
        <w:left w:val="none" w:sz="0" w:space="0" w:color="auto"/>
        <w:bottom w:val="none" w:sz="0" w:space="0" w:color="auto"/>
        <w:right w:val="none" w:sz="0" w:space="0" w:color="auto"/>
      </w:divBdr>
      <w:divsChild>
        <w:div w:id="1654139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812434">
      <w:bodyDiv w:val="1"/>
      <w:marLeft w:val="0"/>
      <w:marRight w:val="0"/>
      <w:marTop w:val="0"/>
      <w:marBottom w:val="0"/>
      <w:divBdr>
        <w:top w:val="none" w:sz="0" w:space="0" w:color="auto"/>
        <w:left w:val="none" w:sz="0" w:space="0" w:color="auto"/>
        <w:bottom w:val="none" w:sz="0" w:space="0" w:color="auto"/>
        <w:right w:val="none" w:sz="0" w:space="0" w:color="auto"/>
      </w:divBdr>
      <w:divsChild>
        <w:div w:id="255990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6730705">
      <w:bodyDiv w:val="1"/>
      <w:marLeft w:val="0"/>
      <w:marRight w:val="0"/>
      <w:marTop w:val="0"/>
      <w:marBottom w:val="0"/>
      <w:divBdr>
        <w:top w:val="none" w:sz="0" w:space="0" w:color="auto"/>
        <w:left w:val="none" w:sz="0" w:space="0" w:color="auto"/>
        <w:bottom w:val="none" w:sz="0" w:space="0" w:color="auto"/>
        <w:right w:val="none" w:sz="0" w:space="0" w:color="auto"/>
      </w:divBdr>
    </w:div>
    <w:div w:id="1879510097">
      <w:bodyDiv w:val="1"/>
      <w:marLeft w:val="0"/>
      <w:marRight w:val="0"/>
      <w:marTop w:val="0"/>
      <w:marBottom w:val="0"/>
      <w:divBdr>
        <w:top w:val="none" w:sz="0" w:space="0" w:color="auto"/>
        <w:left w:val="none" w:sz="0" w:space="0" w:color="auto"/>
        <w:bottom w:val="none" w:sz="0" w:space="0" w:color="auto"/>
        <w:right w:val="none" w:sz="0" w:space="0" w:color="auto"/>
      </w:divBdr>
    </w:div>
    <w:div w:id="2031057881">
      <w:bodyDiv w:val="1"/>
      <w:marLeft w:val="0"/>
      <w:marRight w:val="0"/>
      <w:marTop w:val="0"/>
      <w:marBottom w:val="0"/>
      <w:divBdr>
        <w:top w:val="none" w:sz="0" w:space="0" w:color="auto"/>
        <w:left w:val="none" w:sz="0" w:space="0" w:color="auto"/>
        <w:bottom w:val="none" w:sz="0" w:space="0" w:color="auto"/>
        <w:right w:val="none" w:sz="0" w:space="0" w:color="auto"/>
      </w:divBdr>
    </w:div>
    <w:div w:id="2066030426">
      <w:bodyDiv w:val="1"/>
      <w:marLeft w:val="0"/>
      <w:marRight w:val="0"/>
      <w:marTop w:val="0"/>
      <w:marBottom w:val="0"/>
      <w:divBdr>
        <w:top w:val="none" w:sz="0" w:space="0" w:color="auto"/>
        <w:left w:val="none" w:sz="0" w:space="0" w:color="auto"/>
        <w:bottom w:val="none" w:sz="0" w:space="0" w:color="auto"/>
        <w:right w:val="none" w:sz="0" w:space="0" w:color="auto"/>
      </w:divBdr>
      <w:divsChild>
        <w:div w:id="1424690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146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xiv.org/abs/2303.08774" TargetMode="External"/><Relationship Id="rId18" Type="http://schemas.openxmlformats.org/officeDocument/2006/relationships/hyperlink" Target="https://arxiv.org/abs/1911.00172" TargetMode="External"/><Relationship Id="rId26" Type="http://schemas.openxmlformats.org/officeDocument/2006/relationships/hyperlink" Target="https://arxiv.org/abs/2402.19473" TargetMode="External"/><Relationship Id="rId3" Type="http://schemas.openxmlformats.org/officeDocument/2006/relationships/settings" Target="settings.xml"/><Relationship Id="rId21" Type="http://schemas.openxmlformats.org/officeDocument/2006/relationships/hyperlink" Target="https://arxiv.org/abs/2104.08663" TargetMode="External"/><Relationship Id="rId7" Type="http://schemas.openxmlformats.org/officeDocument/2006/relationships/image" Target="media/image3.png"/><Relationship Id="rId12" Type="http://schemas.openxmlformats.org/officeDocument/2006/relationships/hyperlink" Target="https://arxiv.org/abs/2005.14165" TargetMode="External"/><Relationship Id="rId17" Type="http://schemas.openxmlformats.org/officeDocument/2006/relationships/hyperlink" Target="https://arxiv.org/abs/2104.08663" TargetMode="External"/><Relationship Id="rId25" Type="http://schemas.openxmlformats.org/officeDocument/2006/relationships/hyperlink" Target="https://arxiv.org/abs/2404.0872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rxiv.org/abs/2002.08909" TargetMode="External"/><Relationship Id="rId20" Type="http://schemas.openxmlformats.org/officeDocument/2006/relationships/hyperlink" Target="https://openreview.net/forum?id=vwUXb28lTn" TargetMode="External"/><Relationship Id="rId29" Type="http://schemas.openxmlformats.org/officeDocument/2006/relationships/hyperlink" Target="https://doi.org/10.1145/3705754.3705771"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jmlr.org/papers/v21/20-074.html" TargetMode="External"/><Relationship Id="rId24" Type="http://schemas.openxmlformats.org/officeDocument/2006/relationships/hyperlink" Target="https://arxiv.org/abs/2211.01550"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arxiv.org/abs/2007.01282" TargetMode="External"/><Relationship Id="rId23" Type="http://schemas.openxmlformats.org/officeDocument/2006/relationships/hyperlink" Target="https://doi.org/10.1038/s41586-023-06291-2" TargetMode="External"/><Relationship Id="rId28" Type="http://schemas.openxmlformats.org/officeDocument/2006/relationships/hyperlink" Target="https://arxiv.org/abs/2407.01219" TargetMode="External"/><Relationship Id="rId10" Type="http://schemas.openxmlformats.org/officeDocument/2006/relationships/hyperlink" Target="https://doi.org/10.48550/arXiv.1810.04805" TargetMode="External"/><Relationship Id="rId19" Type="http://schemas.openxmlformats.org/officeDocument/2006/relationships/hyperlink" Target="https://arxiv.org/abs/2305.13252" TargetMode="External"/><Relationship Id="rId31" Type="http://schemas.openxmlformats.org/officeDocument/2006/relationships/hyperlink" Target="https://arxiv.org/abs/2412.16311" TargetMode="External"/><Relationship Id="rId4" Type="http://schemas.openxmlformats.org/officeDocument/2006/relationships/webSettings" Target="webSettings.xml"/><Relationship Id="rId9" Type="http://schemas.openxmlformats.org/officeDocument/2006/relationships/hyperlink" Target="https://doi.org/10.1016/j.engappai.2025.108155" TargetMode="External"/><Relationship Id="rId14" Type="http://schemas.openxmlformats.org/officeDocument/2006/relationships/hyperlink" Target="https://openreview.net/forum?id=HkdP5zA1vD" TargetMode="External"/><Relationship Id="rId22" Type="http://schemas.openxmlformats.org/officeDocument/2006/relationships/hyperlink" Target="https://arxiv.org/abs/2403.08442" TargetMode="External"/><Relationship Id="rId27" Type="http://schemas.openxmlformats.org/officeDocument/2006/relationships/hyperlink" Target="https://arxiv.org/abs/2404.10981" TargetMode="External"/><Relationship Id="rId30" Type="http://schemas.openxmlformats.org/officeDocument/2006/relationships/hyperlink" Target="https://arxiv.org/abs/2509.21336" TargetMode="Externa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15</Pages>
  <Words>5810</Words>
  <Characters>33121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Kosar</dc:creator>
  <cp:keywords/>
  <dc:description/>
  <cp:lastModifiedBy>poorya khorsandy</cp:lastModifiedBy>
  <cp:revision>25</cp:revision>
  <dcterms:created xsi:type="dcterms:W3CDTF">2025-10-22T16:42:00Z</dcterms:created>
  <dcterms:modified xsi:type="dcterms:W3CDTF">2025-10-24T07:02:00Z</dcterms:modified>
</cp:coreProperties>
</file>